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5EA94" w14:textId="4181F7F1" w:rsidR="00194B64" w:rsidRPr="00600A63" w:rsidRDefault="009342D6" w:rsidP="00194B64">
      <w:pPr>
        <w:pStyle w:val="Heading1"/>
        <w:tabs>
          <w:tab w:val="left" w:pos="0"/>
        </w:tabs>
        <w:spacing w:before="0" w:after="0"/>
        <w:jc w:val="center"/>
        <w:rPr>
          <w:rFonts w:cstheme="minorHAnsi"/>
          <w:b/>
          <w:caps/>
          <w:sz w:val="24"/>
          <w:szCs w:val="24"/>
          <w:lang w:val="ro-RO"/>
        </w:rPr>
      </w:pPr>
      <w:r>
        <w:rPr>
          <w:b/>
          <w:lang w:val="ro-RO"/>
        </w:rPr>
        <w:t xml:space="preserve">  </w:t>
      </w:r>
      <w:r w:rsidR="00821490" w:rsidRPr="00194B64">
        <w:rPr>
          <w:b/>
          <w:lang w:val="ro-RO"/>
        </w:rPr>
        <w:t xml:space="preserve"> </w:t>
      </w:r>
      <w:r w:rsidR="009572A5" w:rsidRPr="00600A63">
        <w:rPr>
          <w:rFonts w:cstheme="minorHAnsi"/>
          <w:b/>
          <w:caps/>
          <w:sz w:val="24"/>
          <w:szCs w:val="24"/>
          <w:lang w:val="ro-RO"/>
        </w:rPr>
        <w:t>TERMs of reference</w:t>
      </w:r>
    </w:p>
    <w:p w14:paraId="59651538" w14:textId="77777777" w:rsidR="002B200B" w:rsidRPr="00600A63" w:rsidRDefault="002B200B" w:rsidP="000371C3">
      <w:pPr>
        <w:shd w:val="clear" w:color="auto" w:fill="FFFFFF"/>
        <w:outlineLvl w:val="1"/>
        <w:rPr>
          <w:rFonts w:asciiTheme="majorHAnsi" w:hAnsiTheme="majorHAnsi"/>
          <w:b/>
          <w:lang w:val="ro-RO"/>
        </w:rPr>
      </w:pPr>
    </w:p>
    <w:p w14:paraId="0B449958" w14:textId="77777777" w:rsidR="00126223" w:rsidRPr="00600A63" w:rsidRDefault="00126223" w:rsidP="00194B64">
      <w:pPr>
        <w:shd w:val="clear" w:color="auto" w:fill="FFFFFF"/>
        <w:jc w:val="center"/>
        <w:outlineLvl w:val="1"/>
        <w:rPr>
          <w:rFonts w:asciiTheme="majorHAnsi" w:hAnsiTheme="majorHAnsi"/>
          <w:b/>
          <w:lang w:val="en-US"/>
        </w:rPr>
      </w:pPr>
    </w:p>
    <w:p w14:paraId="15EBDCF0" w14:textId="6DE9B566" w:rsidR="000371C3" w:rsidRPr="00600A63" w:rsidRDefault="00713C9B" w:rsidP="00126223">
      <w:pPr>
        <w:shd w:val="clear" w:color="auto" w:fill="FFFFFF"/>
        <w:jc w:val="center"/>
        <w:outlineLvl w:val="1"/>
        <w:rPr>
          <w:rFonts w:asciiTheme="majorHAnsi" w:hAnsiTheme="majorHAnsi"/>
          <w:b/>
          <w:lang w:val="en-US"/>
        </w:rPr>
      </w:pPr>
      <w:r w:rsidRPr="00600A63">
        <w:rPr>
          <w:rFonts w:asciiTheme="majorHAnsi" w:hAnsiTheme="majorHAnsi"/>
          <w:b/>
          <w:lang w:val="en-US"/>
        </w:rPr>
        <w:t xml:space="preserve">Consultancy to support the undertaking of </w:t>
      </w:r>
      <w:r w:rsidR="00C8152F" w:rsidRPr="00600A63">
        <w:rPr>
          <w:rFonts w:asciiTheme="majorHAnsi" w:hAnsiTheme="majorHAnsi"/>
          <w:b/>
          <w:lang w:val="en-US"/>
        </w:rPr>
        <w:t>the Community Rights and Gender</w:t>
      </w:r>
      <w:r w:rsidR="005829E8" w:rsidRPr="00600A63">
        <w:rPr>
          <w:rFonts w:asciiTheme="majorHAnsi" w:hAnsiTheme="majorHAnsi"/>
          <w:b/>
          <w:lang w:val="en-US"/>
        </w:rPr>
        <w:t xml:space="preserve"> assessment to</w:t>
      </w:r>
      <w:r w:rsidRPr="00600A63">
        <w:rPr>
          <w:rFonts w:asciiTheme="majorHAnsi" w:hAnsiTheme="majorHAnsi"/>
          <w:b/>
          <w:lang w:val="en-US"/>
        </w:rPr>
        <w:t xml:space="preserve"> TB care </w:t>
      </w:r>
    </w:p>
    <w:p w14:paraId="7321DB64" w14:textId="74EA7234" w:rsidR="00126223" w:rsidRPr="00600A63" w:rsidRDefault="00126223" w:rsidP="00194B64">
      <w:pPr>
        <w:shd w:val="clear" w:color="auto" w:fill="FFFFFF"/>
        <w:jc w:val="center"/>
        <w:outlineLvl w:val="1"/>
        <w:rPr>
          <w:rFonts w:asciiTheme="majorHAnsi" w:hAnsiTheme="majorHAnsi"/>
          <w:b/>
          <w:lang w:val="en-US"/>
        </w:rPr>
      </w:pPr>
    </w:p>
    <w:p w14:paraId="612C1DDD" w14:textId="32D33096" w:rsidR="00126223" w:rsidRPr="00600A63" w:rsidRDefault="00C8152F" w:rsidP="00126223">
      <w:pPr>
        <w:shd w:val="clear" w:color="auto" w:fill="FFFFFF"/>
        <w:outlineLvl w:val="1"/>
        <w:rPr>
          <w:rFonts w:asciiTheme="majorHAnsi" w:hAnsiTheme="majorHAnsi"/>
          <w:b/>
          <w:lang w:val="en-US"/>
        </w:rPr>
      </w:pPr>
      <w:r w:rsidRPr="00600A63">
        <w:rPr>
          <w:rFonts w:asciiTheme="majorHAnsi" w:hAnsiTheme="majorHAnsi"/>
          <w:b/>
          <w:lang w:val="en-US"/>
        </w:rPr>
        <w:t>Institutional consultancy</w:t>
      </w:r>
      <w:r w:rsidR="00126223" w:rsidRPr="00600A63">
        <w:rPr>
          <w:rFonts w:asciiTheme="majorHAnsi" w:hAnsiTheme="majorHAnsi"/>
          <w:b/>
          <w:lang w:val="en-US"/>
        </w:rPr>
        <w:t xml:space="preserve"> within TB-REP</w:t>
      </w:r>
      <w:r w:rsidR="005829E8" w:rsidRPr="00600A63">
        <w:rPr>
          <w:rFonts w:asciiTheme="majorHAnsi" w:hAnsiTheme="majorHAnsi"/>
          <w:b/>
          <w:lang w:val="en-US"/>
        </w:rPr>
        <w:t xml:space="preserve"> 2.0 project</w:t>
      </w:r>
    </w:p>
    <w:p w14:paraId="1487A3A1" w14:textId="77777777" w:rsidR="00AC36F3" w:rsidRPr="00600A63" w:rsidRDefault="00AC36F3" w:rsidP="00194B64">
      <w:pPr>
        <w:jc w:val="both"/>
        <w:rPr>
          <w:rFonts w:asciiTheme="majorHAnsi" w:hAnsiTheme="majorHAnsi"/>
          <w:b/>
          <w:lang w:val="ro-RO"/>
        </w:rPr>
      </w:pPr>
    </w:p>
    <w:p w14:paraId="4EF0E96F" w14:textId="6FF2C0A0" w:rsidR="000371C3" w:rsidRPr="00600A63" w:rsidRDefault="000371C3" w:rsidP="00194B64">
      <w:pPr>
        <w:pStyle w:val="ListParagraph"/>
        <w:numPr>
          <w:ilvl w:val="0"/>
          <w:numId w:val="21"/>
        </w:numPr>
        <w:suppressAutoHyphens/>
        <w:autoSpaceDN w:val="0"/>
        <w:contextualSpacing w:val="0"/>
        <w:jc w:val="both"/>
        <w:textAlignment w:val="baseline"/>
        <w:rPr>
          <w:rFonts w:asciiTheme="majorHAnsi" w:hAnsiTheme="majorHAnsi"/>
          <w:b/>
          <w:lang w:val="ro-RO"/>
        </w:rPr>
      </w:pPr>
      <w:r w:rsidRPr="00600A63">
        <w:rPr>
          <w:rFonts w:asciiTheme="majorHAnsi" w:hAnsiTheme="majorHAnsi"/>
          <w:b/>
          <w:lang w:val="ro-RO"/>
        </w:rPr>
        <w:t xml:space="preserve">Background </w:t>
      </w:r>
      <w:proofErr w:type="spellStart"/>
      <w:r w:rsidRPr="00600A63">
        <w:rPr>
          <w:rFonts w:asciiTheme="majorHAnsi" w:hAnsiTheme="majorHAnsi"/>
          <w:b/>
          <w:lang w:val="ro-RO"/>
        </w:rPr>
        <w:t>information</w:t>
      </w:r>
      <w:proofErr w:type="spellEnd"/>
      <w:r w:rsidRPr="00600A63">
        <w:rPr>
          <w:rFonts w:asciiTheme="majorHAnsi" w:hAnsiTheme="majorHAnsi"/>
          <w:b/>
          <w:lang w:val="ro-RO"/>
        </w:rPr>
        <w:t xml:space="preserve"> on </w:t>
      </w:r>
      <w:proofErr w:type="spellStart"/>
      <w:r w:rsidRPr="00600A63">
        <w:rPr>
          <w:rFonts w:asciiTheme="majorHAnsi" w:hAnsiTheme="majorHAnsi"/>
          <w:b/>
          <w:lang w:val="ro-RO"/>
        </w:rPr>
        <w:t>the</w:t>
      </w:r>
      <w:proofErr w:type="spellEnd"/>
      <w:r w:rsidRPr="00600A63">
        <w:rPr>
          <w:rFonts w:asciiTheme="majorHAnsi" w:hAnsiTheme="majorHAnsi"/>
          <w:b/>
          <w:lang w:val="ro-RO"/>
        </w:rPr>
        <w:t xml:space="preserve"> </w:t>
      </w:r>
      <w:proofErr w:type="spellStart"/>
      <w:r w:rsidR="005829E8" w:rsidRPr="00600A63">
        <w:rPr>
          <w:rFonts w:asciiTheme="majorHAnsi" w:hAnsiTheme="majorHAnsi"/>
          <w:b/>
          <w:lang w:val="ro-RO"/>
        </w:rPr>
        <w:t>project</w:t>
      </w:r>
      <w:proofErr w:type="spellEnd"/>
    </w:p>
    <w:p w14:paraId="50769497" w14:textId="7B703B57" w:rsidR="00696347" w:rsidRPr="00600A63" w:rsidRDefault="00335E65" w:rsidP="004650A8">
      <w:pPr>
        <w:spacing w:after="240"/>
        <w:jc w:val="both"/>
        <w:rPr>
          <w:rFonts w:asciiTheme="majorHAnsi" w:hAnsiTheme="majorHAnsi"/>
          <w:lang w:val="en-US"/>
        </w:rPr>
      </w:pPr>
      <w:r w:rsidRPr="00600A63">
        <w:rPr>
          <w:rFonts w:ascii="Cambria" w:hAnsi="Cambria"/>
        </w:rPr>
        <w:t xml:space="preserve">Despite notable progress in the past decade, TB is still of public health concern in most of the countries within the WHO European </w:t>
      </w:r>
      <w:r w:rsidR="005829E8" w:rsidRPr="00600A63">
        <w:rPr>
          <w:rFonts w:ascii="Cambria" w:hAnsi="Cambria"/>
        </w:rPr>
        <w:t>Region</w:t>
      </w:r>
      <w:r w:rsidR="006000F3" w:rsidRPr="00600A63">
        <w:rPr>
          <w:rFonts w:ascii="Cambria" w:hAnsi="Cambria"/>
        </w:rPr>
        <w:t xml:space="preserve">. </w:t>
      </w:r>
      <w:r w:rsidR="00696347" w:rsidRPr="00600A63">
        <w:rPr>
          <w:rFonts w:ascii="Cambria" w:hAnsi="Cambria"/>
        </w:rPr>
        <w:t xml:space="preserve">The Eastern European region has the highest rates of drug-resistant TB (DR-TB) in the world. According to WHO estimates, 17% of new TB cases and 53% of previously treated cases in the region had rifampicin-resistant TB (RR-TB) in 2017, compared to global figures of 3.5% and 18%, respectively. </w:t>
      </w:r>
      <w:r w:rsidR="004650A8" w:rsidRPr="00600A63">
        <w:rPr>
          <w:rFonts w:asciiTheme="majorHAnsi" w:hAnsiTheme="majorHAnsi"/>
          <w:i/>
          <w:lang w:val="en-US"/>
        </w:rPr>
        <w:t>TB in Eastern Europe and Central Asia Project on Advancing People-Centered Quality TB Care – F</w:t>
      </w:r>
      <w:r w:rsidR="00696347" w:rsidRPr="00600A63">
        <w:rPr>
          <w:rFonts w:asciiTheme="majorHAnsi" w:hAnsiTheme="majorHAnsi"/>
          <w:i/>
          <w:lang w:val="en-US"/>
        </w:rPr>
        <w:t>rom the New Model of Care Towards Improving DR-TB Early Detection and Treatment Outcomes</w:t>
      </w:r>
      <w:r w:rsidR="00696347" w:rsidRPr="00600A63">
        <w:rPr>
          <w:rFonts w:asciiTheme="majorHAnsi" w:hAnsiTheme="majorHAnsi"/>
          <w:lang w:val="en-US"/>
        </w:rPr>
        <w:t xml:space="preserve"> (</w:t>
      </w:r>
      <w:r w:rsidR="00696347" w:rsidRPr="00600A63">
        <w:rPr>
          <w:rFonts w:asciiTheme="majorHAnsi" w:hAnsiTheme="majorHAnsi"/>
          <w:b/>
          <w:lang w:val="en-US"/>
        </w:rPr>
        <w:t>TB-REP 2.0 Project</w:t>
      </w:r>
      <w:r w:rsidR="00696347" w:rsidRPr="00600A63">
        <w:rPr>
          <w:rFonts w:asciiTheme="majorHAnsi" w:hAnsiTheme="majorHAnsi"/>
          <w:lang w:val="en-US"/>
        </w:rPr>
        <w:t xml:space="preserve">), </w:t>
      </w:r>
      <w:r w:rsidR="00696347" w:rsidRPr="00600A63">
        <w:rPr>
          <w:rFonts w:ascii="Cambria" w:eastAsia="SimSun" w:hAnsi="Cambria" w:cs="Calibri"/>
          <w:bCs/>
          <w:lang w:eastAsia="zh-CN"/>
        </w:rPr>
        <w:t xml:space="preserve">funded by the Global Fund (GF) and implemented by </w:t>
      </w:r>
      <w:r w:rsidR="00696347" w:rsidRPr="00600A63">
        <w:rPr>
          <w:rFonts w:asciiTheme="majorHAnsi" w:hAnsiTheme="majorHAnsi"/>
          <w:lang w:val="en-US"/>
        </w:rPr>
        <w:t>Centre for Health Policies and Studies (</w:t>
      </w:r>
      <w:r w:rsidR="00696347" w:rsidRPr="00600A63">
        <w:rPr>
          <w:rFonts w:ascii="Cambria" w:eastAsia="SimSun" w:hAnsi="Cambria" w:cs="Calibri"/>
          <w:bCs/>
          <w:lang w:eastAsia="zh-CN"/>
        </w:rPr>
        <w:t xml:space="preserve">PAS </w:t>
      </w:r>
      <w:proofErr w:type="spellStart"/>
      <w:r w:rsidR="00696347" w:rsidRPr="00600A63">
        <w:rPr>
          <w:rFonts w:ascii="Cambria" w:eastAsia="SimSun" w:hAnsi="Cambria" w:cs="Calibri"/>
          <w:bCs/>
          <w:lang w:eastAsia="zh-CN"/>
        </w:rPr>
        <w:t>Center</w:t>
      </w:r>
      <w:proofErr w:type="spellEnd"/>
      <w:r w:rsidR="00696347" w:rsidRPr="00600A63">
        <w:rPr>
          <w:rFonts w:ascii="Cambria" w:eastAsia="SimSun" w:hAnsi="Cambria" w:cs="Calibri"/>
          <w:bCs/>
          <w:lang w:eastAsia="zh-CN"/>
        </w:rPr>
        <w:t>) as Principal Recipient jointly with the project partners, has been supporting EECA countries to tackle high burden of TB and MDR TB and</w:t>
      </w:r>
      <w:r w:rsidR="00696347" w:rsidRPr="00600A63">
        <w:rPr>
          <w:rFonts w:asciiTheme="majorHAnsi" w:hAnsiTheme="majorHAnsi"/>
          <w:lang w:val="en-US"/>
        </w:rPr>
        <w:t xml:space="preserve"> bring TB care closer to patients. TB-REP 2.0 is focusing on strengthening people-centered approaches in TB care through sustainable transformation of the health systems and meaningful involvement of communities and civil society. </w:t>
      </w:r>
    </w:p>
    <w:p w14:paraId="13A693FC" w14:textId="77777777" w:rsidR="00696347" w:rsidRPr="00600A63" w:rsidRDefault="00696347" w:rsidP="004650A8">
      <w:pPr>
        <w:spacing w:after="240"/>
        <w:jc w:val="both"/>
        <w:rPr>
          <w:rFonts w:asciiTheme="majorHAnsi" w:hAnsiTheme="majorHAnsi"/>
          <w:lang w:val="en-US"/>
        </w:rPr>
      </w:pPr>
      <w:r w:rsidRPr="00600A63">
        <w:rPr>
          <w:rFonts w:asciiTheme="majorHAnsi" w:hAnsiTheme="majorHAnsi"/>
          <w:lang w:val="en-US"/>
        </w:rPr>
        <w:t xml:space="preserve">TB-REP 2.0 has been approved for a 3-year period, from 2019 to 2021. The project is covering eleven countries with high incidence of TB in EECA region, namely Armenia, Azerbaijan, Belarus, Georgia, Kazakhstan, Kyrgyzstan, Moldova, Tajikistan, Turkmenistan, Ukraine, Uzbekistan. It is a multi-partner project implemented by the PAS Center, as the principal recipient in collaboration with the WHO Regional Office for Europe (WHO Europe), TB Europe Coalition (TBEC), </w:t>
      </w:r>
      <w:proofErr w:type="spellStart"/>
      <w:r w:rsidRPr="00600A63">
        <w:rPr>
          <w:rFonts w:asciiTheme="majorHAnsi" w:hAnsiTheme="majorHAnsi"/>
          <w:lang w:val="en-US"/>
        </w:rPr>
        <w:t>TBpeople</w:t>
      </w:r>
      <w:proofErr w:type="spellEnd"/>
      <w:r w:rsidRPr="00600A63">
        <w:rPr>
          <w:rFonts w:asciiTheme="majorHAnsi" w:hAnsiTheme="majorHAnsi"/>
          <w:lang w:val="en-US"/>
        </w:rPr>
        <w:t xml:space="preserve"> and Global TB Caucus. </w:t>
      </w:r>
    </w:p>
    <w:p w14:paraId="7B7F3B07" w14:textId="1CE9B13A" w:rsidR="00DB470C" w:rsidRPr="00600A63" w:rsidRDefault="005829E8" w:rsidP="004650A8">
      <w:pPr>
        <w:spacing w:after="120"/>
        <w:jc w:val="both"/>
        <w:rPr>
          <w:rFonts w:asciiTheme="majorHAnsi" w:hAnsiTheme="majorHAnsi"/>
          <w:lang w:val="en-US"/>
        </w:rPr>
      </w:pPr>
      <w:r w:rsidRPr="00600A63">
        <w:rPr>
          <w:rFonts w:asciiTheme="majorHAnsi" w:hAnsiTheme="majorHAnsi"/>
          <w:lang w:val="en-US"/>
        </w:rPr>
        <w:t xml:space="preserve">Although TB case detection rate is overall high in the region, there are significant variations and data gaps by gender, age and key affected populations. The challenge to find people with TB who are missed by the national programs remains important for the project countries. While visible improvements in bridging this gap have been documented compared to the early 2000s, an estimated 23,222 incident TB cases were not detected in 2017, which account for around 20% of the estimated number. At the same time, </w:t>
      </w:r>
      <w:r w:rsidR="00127052" w:rsidRPr="00600A63">
        <w:rPr>
          <w:rFonts w:asciiTheme="majorHAnsi" w:hAnsiTheme="majorHAnsi"/>
          <w:lang w:val="en-US"/>
        </w:rPr>
        <w:t xml:space="preserve">there are gaps in </w:t>
      </w:r>
      <w:r w:rsidRPr="00600A63">
        <w:rPr>
          <w:rFonts w:asciiTheme="majorHAnsi" w:hAnsiTheme="majorHAnsi"/>
          <w:lang w:val="en-US"/>
        </w:rPr>
        <w:t xml:space="preserve">documented evidence </w:t>
      </w:r>
      <w:r w:rsidR="00127052" w:rsidRPr="00600A63">
        <w:rPr>
          <w:rFonts w:asciiTheme="majorHAnsi" w:hAnsiTheme="majorHAnsi"/>
          <w:lang w:val="en-US"/>
        </w:rPr>
        <w:t xml:space="preserve">for most of the countries in which </w:t>
      </w:r>
      <w:r w:rsidRPr="00600A63">
        <w:rPr>
          <w:rFonts w:asciiTheme="majorHAnsi" w:hAnsiTheme="majorHAnsi"/>
          <w:lang w:val="en-US"/>
        </w:rPr>
        <w:t xml:space="preserve">of the key groups disproportionately large numbers of cases are </w:t>
      </w:r>
      <w:proofErr w:type="gramStart"/>
      <w:r w:rsidRPr="00600A63">
        <w:rPr>
          <w:rFonts w:asciiTheme="majorHAnsi" w:hAnsiTheme="majorHAnsi"/>
          <w:lang w:val="en-US"/>
        </w:rPr>
        <w:t>missing .</w:t>
      </w:r>
      <w:proofErr w:type="gramEnd"/>
      <w:r w:rsidRPr="00600A63">
        <w:rPr>
          <w:rFonts w:asciiTheme="majorHAnsi" w:hAnsiTheme="majorHAnsi"/>
          <w:lang w:val="en-US"/>
        </w:rPr>
        <w:t xml:space="preserve"> This in turn does not allow to design and implement tailored active case-finding activities for ensuring better access of the most vulnerable to TB care services. </w:t>
      </w:r>
    </w:p>
    <w:p w14:paraId="47B12C7B" w14:textId="4657B4E5" w:rsidR="00EF46D4" w:rsidRPr="00600A63" w:rsidRDefault="00905B0A" w:rsidP="004650A8">
      <w:pPr>
        <w:shd w:val="clear" w:color="auto" w:fill="FFFFFF"/>
        <w:spacing w:after="240"/>
        <w:jc w:val="both"/>
        <w:rPr>
          <w:rFonts w:ascii="Cambria" w:hAnsi="Cambria"/>
        </w:rPr>
      </w:pPr>
      <w:r w:rsidRPr="00600A63">
        <w:rPr>
          <w:rFonts w:ascii="Cambria" w:hAnsi="Cambria"/>
        </w:rPr>
        <w:t>In order to achieve a</w:t>
      </w:r>
      <w:r w:rsidR="009E38FF" w:rsidRPr="00600A63">
        <w:rPr>
          <w:rFonts w:ascii="Cambria" w:hAnsi="Cambria"/>
        </w:rPr>
        <w:t>dvance</w:t>
      </w:r>
      <w:r w:rsidR="007729EC" w:rsidRPr="00600A63">
        <w:rPr>
          <w:rFonts w:ascii="Cambria" w:hAnsi="Cambria"/>
        </w:rPr>
        <w:t>ment towards people-</w:t>
      </w:r>
      <w:proofErr w:type="spellStart"/>
      <w:r w:rsidR="007729EC" w:rsidRPr="00600A63">
        <w:rPr>
          <w:rFonts w:ascii="Cambria" w:hAnsi="Cambria"/>
        </w:rPr>
        <w:t>centered</w:t>
      </w:r>
      <w:proofErr w:type="spellEnd"/>
      <w:r w:rsidR="00EE0FE8" w:rsidRPr="00600A63">
        <w:rPr>
          <w:rFonts w:ascii="Cambria" w:hAnsi="Cambria"/>
        </w:rPr>
        <w:t xml:space="preserve"> </w:t>
      </w:r>
      <w:r w:rsidR="009E38FF" w:rsidRPr="00600A63">
        <w:rPr>
          <w:rFonts w:ascii="Cambria" w:hAnsi="Cambria"/>
        </w:rPr>
        <w:t>approaches</w:t>
      </w:r>
      <w:r w:rsidR="00EE0FE8" w:rsidRPr="00600A63">
        <w:rPr>
          <w:rFonts w:ascii="Cambria" w:hAnsi="Cambria"/>
        </w:rPr>
        <w:t xml:space="preserve"> in TB care</w:t>
      </w:r>
      <w:r w:rsidR="00F15965" w:rsidRPr="00600A63">
        <w:rPr>
          <w:rFonts w:ascii="Cambria" w:hAnsi="Cambria"/>
        </w:rPr>
        <w:t xml:space="preserve"> promoted by TB-REP 2.0</w:t>
      </w:r>
      <w:r w:rsidRPr="00600A63">
        <w:rPr>
          <w:rFonts w:ascii="Cambria" w:hAnsi="Cambria"/>
        </w:rPr>
        <w:t>,</w:t>
      </w:r>
      <w:r w:rsidR="00EE0FE8" w:rsidRPr="00600A63">
        <w:rPr>
          <w:rFonts w:ascii="Cambria" w:hAnsi="Cambria"/>
        </w:rPr>
        <w:t xml:space="preserve"> </w:t>
      </w:r>
      <w:r w:rsidR="00F15965" w:rsidRPr="00600A63">
        <w:rPr>
          <w:rFonts w:ascii="Cambria" w:hAnsi="Cambria"/>
        </w:rPr>
        <w:t xml:space="preserve">it is critical to </w:t>
      </w:r>
      <w:r w:rsidR="00F61F95" w:rsidRPr="00600A63">
        <w:rPr>
          <w:rFonts w:ascii="Cambria" w:hAnsi="Cambria"/>
        </w:rPr>
        <w:t>properly</w:t>
      </w:r>
      <w:r w:rsidR="006967E8" w:rsidRPr="00600A63">
        <w:rPr>
          <w:rFonts w:ascii="Cambria" w:hAnsi="Cambria"/>
        </w:rPr>
        <w:t xml:space="preserve"> </w:t>
      </w:r>
      <w:r w:rsidR="00F15965" w:rsidRPr="00600A63">
        <w:rPr>
          <w:rFonts w:ascii="Cambria" w:hAnsi="Cambria"/>
        </w:rPr>
        <w:t xml:space="preserve">address barriers connected </w:t>
      </w:r>
      <w:r w:rsidR="001A41AE" w:rsidRPr="00600A63">
        <w:rPr>
          <w:rFonts w:ascii="Cambria" w:hAnsi="Cambria"/>
        </w:rPr>
        <w:t xml:space="preserve">to human rights, gender equality and </w:t>
      </w:r>
      <w:r w:rsidR="006967E8" w:rsidRPr="00600A63">
        <w:rPr>
          <w:rFonts w:ascii="Cambria" w:hAnsi="Cambria"/>
        </w:rPr>
        <w:t>other types of social exclusion. Stigma and discrimination, human rights and gender</w:t>
      </w:r>
      <w:r w:rsidR="00A720CA" w:rsidRPr="00600A63">
        <w:rPr>
          <w:rFonts w:ascii="Cambria" w:hAnsi="Cambria"/>
        </w:rPr>
        <w:t>-related barriers</w:t>
      </w:r>
      <w:r w:rsidR="006967E8" w:rsidRPr="00600A63">
        <w:rPr>
          <w:rFonts w:ascii="Cambria" w:hAnsi="Cambria"/>
        </w:rPr>
        <w:t xml:space="preserve"> continue to mark the daily lives of many of the region’s most vulnerable people, increasing their risk of TB acquisition and obstructing their access to essential health services. While all national and regional documents enumerate people in </w:t>
      </w:r>
      <w:r w:rsidR="00A720CA" w:rsidRPr="00600A63">
        <w:rPr>
          <w:rFonts w:ascii="Cambria" w:hAnsi="Cambria"/>
        </w:rPr>
        <w:t>prisons and other closed settings</w:t>
      </w:r>
      <w:r w:rsidR="006967E8" w:rsidRPr="00600A63">
        <w:rPr>
          <w:rFonts w:ascii="Cambria" w:hAnsi="Cambria"/>
        </w:rPr>
        <w:t xml:space="preserve">, people living with HIV, migrants, children, homeless and rural people as key and most vulnerable populations in EECA region, the size estimations and efforts to remove structural </w:t>
      </w:r>
      <w:r w:rsidR="006967E8" w:rsidRPr="00600A63">
        <w:rPr>
          <w:rFonts w:ascii="Cambria" w:hAnsi="Cambria"/>
        </w:rPr>
        <w:lastRenderedPageBreak/>
        <w:t xml:space="preserve">barriers in the region are scarce. </w:t>
      </w:r>
      <w:r w:rsidR="00EA0844" w:rsidRPr="00600A63">
        <w:rPr>
          <w:rFonts w:ascii="Cambria" w:hAnsi="Cambria"/>
        </w:rPr>
        <w:t xml:space="preserve">With few exceptions (Ukraine and Kyrgyzstan) </w:t>
      </w:r>
      <w:r w:rsidR="006967E8" w:rsidRPr="00600A63">
        <w:rPr>
          <w:rFonts w:ascii="Cambria" w:hAnsi="Cambria"/>
        </w:rPr>
        <w:t xml:space="preserve">gender, human rights and legal environment assessments </w:t>
      </w:r>
      <w:r w:rsidR="00EF46D4" w:rsidRPr="00600A63">
        <w:rPr>
          <w:rFonts w:ascii="Cambria" w:hAnsi="Cambria"/>
        </w:rPr>
        <w:t>with respect</w:t>
      </w:r>
      <w:r w:rsidR="00EA0844" w:rsidRPr="00600A63">
        <w:rPr>
          <w:rFonts w:ascii="Cambria" w:hAnsi="Cambria"/>
        </w:rPr>
        <w:t xml:space="preserve"> to TB care were not undertaken in the region to generate an understanding of the key issues affecting care seeking behaviour</w:t>
      </w:r>
      <w:r w:rsidR="00A720CA" w:rsidRPr="00600A63">
        <w:rPr>
          <w:rFonts w:ascii="Cambria" w:hAnsi="Cambria"/>
        </w:rPr>
        <w:t xml:space="preserve"> of people</w:t>
      </w:r>
      <w:r w:rsidR="00EA0844" w:rsidRPr="00600A63">
        <w:rPr>
          <w:rFonts w:ascii="Cambria" w:hAnsi="Cambria"/>
        </w:rPr>
        <w:t>.</w:t>
      </w:r>
    </w:p>
    <w:p w14:paraId="494C21F8" w14:textId="77777777" w:rsidR="008A2008" w:rsidRPr="00600A63" w:rsidRDefault="00EF46D4" w:rsidP="004650A8">
      <w:pPr>
        <w:shd w:val="clear" w:color="auto" w:fill="FFFFFF"/>
        <w:spacing w:after="240"/>
        <w:jc w:val="both"/>
        <w:rPr>
          <w:rFonts w:ascii="Cambria" w:hAnsi="Cambria"/>
        </w:rPr>
      </w:pPr>
      <w:r w:rsidRPr="00600A63">
        <w:rPr>
          <w:rFonts w:ascii="Cambria" w:hAnsi="Cambria"/>
        </w:rPr>
        <w:t xml:space="preserve">In this regard, TB-REP 2.0 is going to provide support to countries for identification of the key </w:t>
      </w:r>
      <w:r w:rsidR="00517A12" w:rsidRPr="00600A63">
        <w:rPr>
          <w:rFonts w:ascii="Cambria" w:hAnsi="Cambria"/>
        </w:rPr>
        <w:t xml:space="preserve">structural </w:t>
      </w:r>
      <w:r w:rsidRPr="00600A63">
        <w:rPr>
          <w:rFonts w:ascii="Cambria" w:hAnsi="Cambria"/>
        </w:rPr>
        <w:t>barriers leading to people who are missed and delayed care</w:t>
      </w:r>
      <w:r w:rsidR="00517A12" w:rsidRPr="00600A63">
        <w:rPr>
          <w:rFonts w:ascii="Cambria" w:hAnsi="Cambria"/>
        </w:rPr>
        <w:t xml:space="preserve">. To address insufficient strategic information </w:t>
      </w:r>
      <w:r w:rsidR="009745B7" w:rsidRPr="00600A63">
        <w:rPr>
          <w:rFonts w:ascii="Cambria" w:hAnsi="Cambria"/>
        </w:rPr>
        <w:t>on health inequalities and disparities with respect to TB, the project will c</w:t>
      </w:r>
      <w:r w:rsidR="00517A12" w:rsidRPr="00600A63">
        <w:rPr>
          <w:rFonts w:ascii="Cambria" w:hAnsi="Cambria"/>
        </w:rPr>
        <w:t>ollect evidence on barriers</w:t>
      </w:r>
      <w:r w:rsidRPr="00600A63">
        <w:rPr>
          <w:rFonts w:ascii="Cambria" w:hAnsi="Cambria"/>
        </w:rPr>
        <w:t xml:space="preserve"> </w:t>
      </w:r>
      <w:r w:rsidR="00517A12" w:rsidRPr="00600A63">
        <w:rPr>
          <w:rFonts w:ascii="Cambria" w:hAnsi="Cambria"/>
        </w:rPr>
        <w:t>through rollout of</w:t>
      </w:r>
      <w:r w:rsidR="00147E68" w:rsidRPr="00600A63">
        <w:rPr>
          <w:rFonts w:ascii="Cambria" w:hAnsi="Cambria"/>
        </w:rPr>
        <w:t xml:space="preserve"> (1)</w:t>
      </w:r>
      <w:r w:rsidR="00517A12" w:rsidRPr="00600A63">
        <w:rPr>
          <w:rFonts w:ascii="Cambria" w:hAnsi="Cambria"/>
        </w:rPr>
        <w:t xml:space="preserve"> gender assessments, </w:t>
      </w:r>
      <w:r w:rsidR="00147E68" w:rsidRPr="00600A63">
        <w:rPr>
          <w:rFonts w:ascii="Cambria" w:hAnsi="Cambria"/>
        </w:rPr>
        <w:t xml:space="preserve">(2) </w:t>
      </w:r>
      <w:r w:rsidR="00517A12" w:rsidRPr="00600A63">
        <w:rPr>
          <w:rFonts w:ascii="Cambria" w:hAnsi="Cambria"/>
        </w:rPr>
        <w:t xml:space="preserve">legal environment assessments, </w:t>
      </w:r>
      <w:r w:rsidR="00147E68" w:rsidRPr="00600A63">
        <w:rPr>
          <w:rFonts w:ascii="Cambria" w:hAnsi="Cambria"/>
        </w:rPr>
        <w:t xml:space="preserve">(3) </w:t>
      </w:r>
      <w:r w:rsidR="00517A12" w:rsidRPr="00600A63">
        <w:rPr>
          <w:rFonts w:ascii="Cambria" w:hAnsi="Cambria"/>
        </w:rPr>
        <w:t xml:space="preserve">data for key populations, </w:t>
      </w:r>
      <w:r w:rsidR="00147E68" w:rsidRPr="00600A63">
        <w:rPr>
          <w:rFonts w:ascii="Cambria" w:hAnsi="Cambria"/>
        </w:rPr>
        <w:t xml:space="preserve">(4) </w:t>
      </w:r>
      <w:r w:rsidR="00517A12" w:rsidRPr="00600A63">
        <w:rPr>
          <w:rFonts w:ascii="Cambria" w:hAnsi="Cambria"/>
        </w:rPr>
        <w:t xml:space="preserve">stigma assessment tools. </w:t>
      </w:r>
      <w:r w:rsidR="00733D99" w:rsidRPr="00600A63">
        <w:rPr>
          <w:rFonts w:ascii="Cambria" w:hAnsi="Cambria"/>
        </w:rPr>
        <w:t>Three</w:t>
      </w:r>
      <w:r w:rsidR="00234946" w:rsidRPr="00600A63">
        <w:rPr>
          <w:rFonts w:ascii="Cambria" w:hAnsi="Cambria"/>
        </w:rPr>
        <w:t xml:space="preserve"> </w:t>
      </w:r>
      <w:r w:rsidR="00102CC8" w:rsidRPr="00600A63">
        <w:rPr>
          <w:rFonts w:ascii="Cambria" w:hAnsi="Cambria"/>
        </w:rPr>
        <w:t>TB-REP countries have been identified for conducting this activity:</w:t>
      </w:r>
      <w:r w:rsidR="00733D99" w:rsidRPr="00600A63">
        <w:rPr>
          <w:rFonts w:ascii="Cambria" w:hAnsi="Cambria"/>
        </w:rPr>
        <w:t xml:space="preserve"> Georgia, Kazakhstan and Uzbekistan.</w:t>
      </w:r>
      <w:r w:rsidR="00102CC8" w:rsidRPr="00600A63">
        <w:rPr>
          <w:rFonts w:ascii="Cambria" w:hAnsi="Cambria"/>
        </w:rPr>
        <w:t xml:space="preserve"> </w:t>
      </w:r>
      <w:r w:rsidR="008A2008" w:rsidRPr="00600A63">
        <w:rPr>
          <w:rFonts w:ascii="Cambria" w:hAnsi="Cambria"/>
        </w:rPr>
        <w:t xml:space="preserve">An additional TB-REP country, Tajikistan, will hold such assessments with the support from the CRG Strategic Initiative. </w:t>
      </w:r>
    </w:p>
    <w:p w14:paraId="14AFAAD2" w14:textId="4D477479" w:rsidR="005B197C" w:rsidRPr="00600A63" w:rsidRDefault="00FA740D" w:rsidP="004650A8">
      <w:pPr>
        <w:shd w:val="clear" w:color="auto" w:fill="FFFFFF"/>
        <w:spacing w:after="240"/>
        <w:jc w:val="both"/>
        <w:rPr>
          <w:rFonts w:ascii="Cambria" w:hAnsi="Cambria"/>
        </w:rPr>
      </w:pPr>
      <w:r w:rsidRPr="00600A63">
        <w:rPr>
          <w:rFonts w:ascii="Cambria" w:hAnsi="Cambria"/>
        </w:rPr>
        <w:t>The tools have been developed by the Stop TB Partnership and will be rolled out by civil society partners in the respective countries (selected through open call for proposals) in collaboration with the</w:t>
      </w:r>
      <w:r w:rsidR="0080295A" w:rsidRPr="00600A63">
        <w:rPr>
          <w:rFonts w:ascii="Cambria" w:hAnsi="Cambria"/>
        </w:rPr>
        <w:t xml:space="preserve"> multi-stakeholder team. The stakeholders will include </w:t>
      </w:r>
      <w:r w:rsidRPr="00600A63">
        <w:rPr>
          <w:rFonts w:ascii="Cambria" w:hAnsi="Cambria"/>
        </w:rPr>
        <w:t>NT</w:t>
      </w:r>
      <w:r w:rsidR="0080295A" w:rsidRPr="00600A63">
        <w:rPr>
          <w:rFonts w:ascii="Cambria" w:hAnsi="Cambria"/>
        </w:rPr>
        <w:t xml:space="preserve">P and other government bodies, civil society representatives including affected communities, UN agencies. </w:t>
      </w:r>
      <w:r w:rsidR="00B14CFF" w:rsidRPr="00600A63">
        <w:rPr>
          <w:rFonts w:ascii="Cambria" w:hAnsi="Cambria"/>
        </w:rPr>
        <w:t>Results of the assessment will allow i</w:t>
      </w:r>
      <w:r w:rsidR="00191C89" w:rsidRPr="00600A63">
        <w:rPr>
          <w:rFonts w:ascii="Cambria" w:hAnsi="Cambria"/>
        </w:rPr>
        <w:t xml:space="preserve">dentifying the key groups where disproportionately large number of cases are missing and target them accordingly with more tailored active case-finding activities. </w:t>
      </w:r>
      <w:r w:rsidR="0075221D" w:rsidRPr="00600A63">
        <w:rPr>
          <w:rFonts w:ascii="Cambria" w:hAnsi="Cambria"/>
        </w:rPr>
        <w:t>This work will generate evidence on the existing barriers related to gender, human rights and stigma to inform</w:t>
      </w:r>
      <w:r w:rsidR="00241ACA" w:rsidRPr="00600A63">
        <w:rPr>
          <w:rFonts w:ascii="Cambria" w:hAnsi="Cambria"/>
        </w:rPr>
        <w:t xml:space="preserve"> programmatic and structural responses </w:t>
      </w:r>
      <w:r w:rsidR="0075221D" w:rsidRPr="00600A63">
        <w:rPr>
          <w:rFonts w:ascii="Cambria" w:hAnsi="Cambria"/>
        </w:rPr>
        <w:t>addressing those deter</w:t>
      </w:r>
      <w:r w:rsidR="00241ACA" w:rsidRPr="00600A63">
        <w:rPr>
          <w:rFonts w:ascii="Cambria" w:hAnsi="Cambria"/>
        </w:rPr>
        <w:t>minants at the country-level</w:t>
      </w:r>
      <w:r w:rsidR="0075221D" w:rsidRPr="00600A63">
        <w:rPr>
          <w:rFonts w:ascii="Cambria" w:hAnsi="Cambria"/>
        </w:rPr>
        <w:t xml:space="preserve">. </w:t>
      </w:r>
    </w:p>
    <w:p w14:paraId="61E3EE64" w14:textId="67817F1E" w:rsidR="00DB1381" w:rsidRPr="00600A63" w:rsidRDefault="0080295A" w:rsidP="00153C97">
      <w:pPr>
        <w:shd w:val="clear" w:color="auto" w:fill="FFFFFF"/>
        <w:spacing w:after="240"/>
        <w:jc w:val="both"/>
        <w:rPr>
          <w:rFonts w:ascii="Cambria" w:hAnsi="Cambria"/>
        </w:rPr>
      </w:pPr>
      <w:r w:rsidRPr="00600A63">
        <w:rPr>
          <w:rFonts w:ascii="Cambria" w:hAnsi="Cambria"/>
        </w:rPr>
        <w:t>The countries’ assess</w:t>
      </w:r>
      <w:r w:rsidR="0025597F" w:rsidRPr="00600A63">
        <w:rPr>
          <w:rFonts w:ascii="Cambria" w:hAnsi="Cambria"/>
        </w:rPr>
        <w:t xml:space="preserve">ments will be supported through institutional consultancy providing technical expertise in each </w:t>
      </w:r>
      <w:r w:rsidR="00733D99" w:rsidRPr="00600A63">
        <w:rPr>
          <w:rFonts w:ascii="Cambria" w:hAnsi="Cambria"/>
        </w:rPr>
        <w:t>of the following dimensions</w:t>
      </w:r>
      <w:r w:rsidRPr="00600A63">
        <w:rPr>
          <w:rFonts w:ascii="Cambria" w:hAnsi="Cambria"/>
        </w:rPr>
        <w:t>: (1) gender, (2) legal environment, (3) key populations, and (4) stigma.</w:t>
      </w:r>
      <w:r w:rsidR="00153C97" w:rsidRPr="00600A63">
        <w:rPr>
          <w:rFonts w:ascii="Cambria" w:hAnsi="Cambria"/>
        </w:rPr>
        <w:t xml:space="preserve"> </w:t>
      </w:r>
      <w:r w:rsidR="00191C89" w:rsidRPr="00600A63">
        <w:rPr>
          <w:rFonts w:asciiTheme="majorHAnsi" w:hAnsiTheme="majorHAnsi"/>
          <w:lang w:val="en-US"/>
        </w:rPr>
        <w:t xml:space="preserve">In this context </w:t>
      </w:r>
      <w:r w:rsidR="00191C89" w:rsidRPr="00600A63">
        <w:rPr>
          <w:rFonts w:ascii="Cambria" w:hAnsi="Cambria"/>
        </w:rPr>
        <w:t>PAS Centre is seeking to contract a</w:t>
      </w:r>
      <w:r w:rsidR="00FC0620" w:rsidRPr="00600A63">
        <w:rPr>
          <w:rFonts w:ascii="Cambria" w:hAnsi="Cambria"/>
        </w:rPr>
        <w:t xml:space="preserve"> qualified</w:t>
      </w:r>
      <w:r w:rsidR="006A0E8C" w:rsidRPr="00600A63">
        <w:rPr>
          <w:rFonts w:ascii="Cambria" w:hAnsi="Cambria"/>
        </w:rPr>
        <w:t xml:space="preserve"> </w:t>
      </w:r>
      <w:r w:rsidR="0025597F" w:rsidRPr="00600A63">
        <w:rPr>
          <w:rFonts w:ascii="Cambria" w:hAnsi="Cambria"/>
        </w:rPr>
        <w:t xml:space="preserve">organization to </w:t>
      </w:r>
      <w:r w:rsidR="006A0E8C" w:rsidRPr="00600A63">
        <w:rPr>
          <w:rFonts w:ascii="Cambria" w:hAnsi="Cambria"/>
        </w:rPr>
        <w:t xml:space="preserve">support </w:t>
      </w:r>
      <w:r w:rsidR="00733D99" w:rsidRPr="00600A63">
        <w:rPr>
          <w:rFonts w:ascii="Cambria" w:hAnsi="Cambria"/>
        </w:rPr>
        <w:t>three</w:t>
      </w:r>
      <w:r w:rsidR="00234946" w:rsidRPr="00600A63">
        <w:rPr>
          <w:rFonts w:ascii="Cambria" w:hAnsi="Cambria"/>
        </w:rPr>
        <w:t xml:space="preserve"> </w:t>
      </w:r>
      <w:r w:rsidR="006A0E8C" w:rsidRPr="00600A63">
        <w:rPr>
          <w:rFonts w:ascii="Cambria" w:hAnsi="Cambria"/>
        </w:rPr>
        <w:t>project countries in conducting</w:t>
      </w:r>
      <w:r w:rsidR="00234946" w:rsidRPr="00600A63">
        <w:rPr>
          <w:rFonts w:ascii="Cambria" w:hAnsi="Cambria"/>
        </w:rPr>
        <w:t xml:space="preserve"> </w:t>
      </w:r>
      <w:r w:rsidR="0011384B" w:rsidRPr="00600A63">
        <w:rPr>
          <w:rFonts w:ascii="Cambria" w:hAnsi="Cambria"/>
        </w:rPr>
        <w:t xml:space="preserve">assessment of the </w:t>
      </w:r>
      <w:r w:rsidR="009204D5" w:rsidRPr="00600A63">
        <w:rPr>
          <w:rFonts w:ascii="Cambria" w:hAnsi="Cambria"/>
        </w:rPr>
        <w:t xml:space="preserve">structural CRG-related </w:t>
      </w:r>
      <w:r w:rsidR="0011384B" w:rsidRPr="00600A63">
        <w:rPr>
          <w:rFonts w:ascii="Cambria" w:hAnsi="Cambria"/>
        </w:rPr>
        <w:t xml:space="preserve">barriers to TB </w:t>
      </w:r>
      <w:r w:rsidR="00153C97" w:rsidRPr="00600A63">
        <w:rPr>
          <w:rFonts w:ascii="Cambria" w:hAnsi="Cambria"/>
        </w:rPr>
        <w:t>people-</w:t>
      </w:r>
      <w:proofErr w:type="spellStart"/>
      <w:r w:rsidR="00153C97" w:rsidRPr="00600A63">
        <w:rPr>
          <w:rFonts w:ascii="Cambria" w:hAnsi="Cambria"/>
        </w:rPr>
        <w:t>centered</w:t>
      </w:r>
      <w:proofErr w:type="spellEnd"/>
      <w:r w:rsidR="00153C97" w:rsidRPr="00600A63">
        <w:rPr>
          <w:rFonts w:ascii="Cambria" w:hAnsi="Cambria"/>
        </w:rPr>
        <w:t xml:space="preserve"> approach to care</w:t>
      </w:r>
      <w:r w:rsidR="00733D99" w:rsidRPr="00600A63">
        <w:rPr>
          <w:rFonts w:ascii="Cambria" w:hAnsi="Cambria"/>
        </w:rPr>
        <w:t xml:space="preserve"> and identifying manifestation of </w:t>
      </w:r>
      <w:r w:rsidR="007F44DE" w:rsidRPr="00600A63">
        <w:rPr>
          <w:rFonts w:ascii="Cambria" w:hAnsi="Cambria"/>
        </w:rPr>
        <w:t>CRG-related inequalities</w:t>
      </w:r>
      <w:r w:rsidR="009342D6" w:rsidRPr="00600A63">
        <w:rPr>
          <w:rFonts w:ascii="Cambria" w:hAnsi="Cambria"/>
        </w:rPr>
        <w:t xml:space="preserve"> in terms of accessing and receiving TB care,</w:t>
      </w:r>
      <w:r w:rsidR="007F44DE" w:rsidRPr="00600A63">
        <w:rPr>
          <w:rFonts w:ascii="Cambria" w:hAnsi="Cambria"/>
        </w:rPr>
        <w:t xml:space="preserve"> that need to </w:t>
      </w:r>
      <w:r w:rsidR="009342D6" w:rsidRPr="00600A63">
        <w:rPr>
          <w:rFonts w:ascii="Cambria" w:hAnsi="Cambria"/>
        </w:rPr>
        <w:t>b</w:t>
      </w:r>
      <w:r w:rsidR="007F44DE" w:rsidRPr="00600A63">
        <w:rPr>
          <w:rFonts w:ascii="Cambria" w:hAnsi="Cambria"/>
        </w:rPr>
        <w:t>e remov</w:t>
      </w:r>
      <w:r w:rsidR="009342D6" w:rsidRPr="00600A63">
        <w:rPr>
          <w:rFonts w:ascii="Cambria" w:hAnsi="Cambria"/>
        </w:rPr>
        <w:t xml:space="preserve">ed by </w:t>
      </w:r>
      <w:r w:rsidR="007F44DE" w:rsidRPr="00600A63">
        <w:rPr>
          <w:rFonts w:ascii="Cambria" w:hAnsi="Cambria"/>
        </w:rPr>
        <w:t>changing policies</w:t>
      </w:r>
      <w:r w:rsidR="00153C97" w:rsidRPr="00600A63">
        <w:rPr>
          <w:rFonts w:ascii="Cambria" w:hAnsi="Cambria"/>
        </w:rPr>
        <w:t>.</w:t>
      </w:r>
      <w:r w:rsidR="00B73D6F" w:rsidRPr="00600A63">
        <w:rPr>
          <w:rFonts w:ascii="Cambria" w:hAnsi="Cambria"/>
        </w:rPr>
        <w:t xml:space="preserve"> </w:t>
      </w:r>
    </w:p>
    <w:p w14:paraId="7671CDB2" w14:textId="0DBDC666" w:rsidR="005E2F6A" w:rsidRPr="00600A63" w:rsidRDefault="000371C3" w:rsidP="005E425E">
      <w:pPr>
        <w:pStyle w:val="ListParagraph"/>
        <w:numPr>
          <w:ilvl w:val="0"/>
          <w:numId w:val="21"/>
        </w:numPr>
        <w:suppressAutoHyphens/>
        <w:autoSpaceDN w:val="0"/>
        <w:spacing w:after="240"/>
        <w:contextualSpacing w:val="0"/>
        <w:jc w:val="both"/>
        <w:textAlignment w:val="baseline"/>
        <w:rPr>
          <w:rFonts w:asciiTheme="majorHAnsi" w:hAnsiTheme="majorHAnsi"/>
          <w:b/>
          <w:lang w:val="en-US"/>
        </w:rPr>
      </w:pPr>
      <w:r w:rsidRPr="00600A63">
        <w:rPr>
          <w:rFonts w:asciiTheme="majorHAnsi" w:hAnsiTheme="majorHAnsi"/>
          <w:b/>
          <w:lang w:val="en-US"/>
        </w:rPr>
        <w:t>Objectives of the assignment</w:t>
      </w:r>
    </w:p>
    <w:p w14:paraId="489FC8A7" w14:textId="4213BA6C" w:rsidR="009C41E5" w:rsidRPr="00600A63" w:rsidRDefault="00604D0E" w:rsidP="00A32733">
      <w:pPr>
        <w:jc w:val="both"/>
        <w:rPr>
          <w:rFonts w:ascii="Cambria" w:hAnsi="Cambria"/>
        </w:rPr>
      </w:pPr>
      <w:r w:rsidRPr="00600A63">
        <w:rPr>
          <w:rFonts w:ascii="Cambria" w:hAnsi="Cambria"/>
        </w:rPr>
        <w:t xml:space="preserve">The </w:t>
      </w:r>
      <w:r w:rsidR="00672F61" w:rsidRPr="00600A63">
        <w:rPr>
          <w:rFonts w:ascii="Cambria" w:hAnsi="Cambria"/>
        </w:rPr>
        <w:t xml:space="preserve">objective of </w:t>
      </w:r>
      <w:r w:rsidR="002C4869" w:rsidRPr="00600A63">
        <w:rPr>
          <w:rFonts w:ascii="Cambria" w:hAnsi="Cambria"/>
        </w:rPr>
        <w:t xml:space="preserve">this Technical Assistance </w:t>
      </w:r>
      <w:r w:rsidR="00672F61" w:rsidRPr="00600A63">
        <w:rPr>
          <w:rFonts w:ascii="Cambria" w:hAnsi="Cambria"/>
        </w:rPr>
        <w:t>is to support</w:t>
      </w:r>
      <w:r w:rsidR="00234946" w:rsidRPr="00600A63">
        <w:rPr>
          <w:rFonts w:ascii="Cambria" w:hAnsi="Cambria"/>
        </w:rPr>
        <w:t xml:space="preserve"> </w:t>
      </w:r>
      <w:r w:rsidR="00733D99" w:rsidRPr="00600A63">
        <w:rPr>
          <w:rFonts w:ascii="Cambria" w:hAnsi="Cambria"/>
        </w:rPr>
        <w:t xml:space="preserve">three countries </w:t>
      </w:r>
      <w:r w:rsidR="002C4869" w:rsidRPr="00600A63">
        <w:rPr>
          <w:rFonts w:ascii="Cambria" w:hAnsi="Cambria"/>
        </w:rPr>
        <w:t xml:space="preserve">in conducting </w:t>
      </w:r>
      <w:r w:rsidR="00FB2C4E" w:rsidRPr="00600A63">
        <w:rPr>
          <w:rFonts w:ascii="Cambria" w:hAnsi="Cambria"/>
        </w:rPr>
        <w:t>assessment o</w:t>
      </w:r>
      <w:r w:rsidR="00E07F36" w:rsidRPr="00600A63">
        <w:rPr>
          <w:rFonts w:ascii="Cambria" w:hAnsi="Cambria"/>
        </w:rPr>
        <w:t>f the c</w:t>
      </w:r>
      <w:r w:rsidR="00234946" w:rsidRPr="00600A63">
        <w:rPr>
          <w:rFonts w:ascii="Cambria" w:hAnsi="Cambria"/>
        </w:rPr>
        <w:t>ommunity</w:t>
      </w:r>
      <w:r w:rsidR="00E07F36" w:rsidRPr="00600A63">
        <w:rPr>
          <w:rFonts w:ascii="Cambria" w:hAnsi="Cambria"/>
        </w:rPr>
        <w:t>, rights,</w:t>
      </w:r>
      <w:r w:rsidR="00234946" w:rsidRPr="00600A63">
        <w:rPr>
          <w:rFonts w:ascii="Cambria" w:hAnsi="Cambria"/>
        </w:rPr>
        <w:t xml:space="preserve"> gender</w:t>
      </w:r>
      <w:r w:rsidR="00E07F36" w:rsidRPr="00600A63">
        <w:rPr>
          <w:rFonts w:ascii="Cambria" w:hAnsi="Cambria"/>
        </w:rPr>
        <w:t xml:space="preserve"> and stigma</w:t>
      </w:r>
      <w:r w:rsidR="00FB2C4E" w:rsidRPr="00600A63">
        <w:rPr>
          <w:rFonts w:ascii="Cambria" w:hAnsi="Cambria"/>
        </w:rPr>
        <w:t xml:space="preserve"> dimensions of TB care to strengthen strategies for enhancing access to treatment and disease control. </w:t>
      </w:r>
      <w:r w:rsidR="00E07F36" w:rsidRPr="00600A63">
        <w:rPr>
          <w:rFonts w:ascii="Cambria" w:hAnsi="Cambria"/>
        </w:rPr>
        <w:t>The tools developed by the Stop TB Partnership</w:t>
      </w:r>
      <w:r w:rsidR="00612AF0" w:rsidRPr="00600A63">
        <w:rPr>
          <w:rFonts w:ascii="Cambria" w:hAnsi="Cambria"/>
        </w:rPr>
        <w:t xml:space="preserve"> – Data for Action Framework for Key Populations, Gender </w:t>
      </w:r>
      <w:r w:rsidR="006E5B3D" w:rsidRPr="00600A63">
        <w:rPr>
          <w:rFonts w:ascii="Cambria" w:hAnsi="Cambria"/>
        </w:rPr>
        <w:t xml:space="preserve">Assessment, </w:t>
      </w:r>
      <w:r w:rsidR="00612AF0" w:rsidRPr="00600A63">
        <w:rPr>
          <w:rFonts w:ascii="Cambria" w:hAnsi="Cambria"/>
        </w:rPr>
        <w:t>Legal Environment Assessment</w:t>
      </w:r>
      <w:r w:rsidR="006E5B3D" w:rsidRPr="00600A63">
        <w:rPr>
          <w:rFonts w:ascii="Cambria" w:hAnsi="Cambria"/>
        </w:rPr>
        <w:t>, and Stigma Assessment</w:t>
      </w:r>
      <w:r w:rsidR="00612AF0" w:rsidRPr="00600A63">
        <w:rPr>
          <w:rFonts w:ascii="Cambria" w:hAnsi="Cambria"/>
        </w:rPr>
        <w:t xml:space="preserve"> - </w:t>
      </w:r>
      <w:r w:rsidR="00E07F36" w:rsidRPr="00600A63">
        <w:rPr>
          <w:rFonts w:ascii="Cambria" w:hAnsi="Cambria"/>
        </w:rPr>
        <w:t>will provide the gu</w:t>
      </w:r>
      <w:r w:rsidR="008D5D42" w:rsidRPr="00600A63">
        <w:rPr>
          <w:rFonts w:ascii="Cambria" w:hAnsi="Cambria"/>
        </w:rPr>
        <w:t>iding framework</w:t>
      </w:r>
      <w:r w:rsidR="00FA2E6E" w:rsidRPr="00600A63">
        <w:rPr>
          <w:rFonts w:ascii="Cambria" w:hAnsi="Cambria"/>
        </w:rPr>
        <w:t>. Country-specific</w:t>
      </w:r>
      <w:r w:rsidR="002C4869" w:rsidRPr="00600A63">
        <w:rPr>
          <w:rFonts w:ascii="Cambria" w:hAnsi="Cambria"/>
        </w:rPr>
        <w:t xml:space="preserve"> as</w:t>
      </w:r>
      <w:r w:rsidR="00FB2C4E" w:rsidRPr="00600A63">
        <w:rPr>
          <w:rFonts w:ascii="Cambria" w:hAnsi="Cambria"/>
        </w:rPr>
        <w:t>sessment</w:t>
      </w:r>
      <w:r w:rsidR="00334C7B" w:rsidRPr="00600A63">
        <w:rPr>
          <w:rFonts w:ascii="Cambria" w:hAnsi="Cambria"/>
        </w:rPr>
        <w:t>s</w:t>
      </w:r>
      <w:r w:rsidR="00FB2C4E" w:rsidRPr="00600A63">
        <w:rPr>
          <w:rFonts w:ascii="Cambria" w:hAnsi="Cambria"/>
        </w:rPr>
        <w:t xml:space="preserve"> will be undertaken by</w:t>
      </w:r>
      <w:r w:rsidR="002C4869" w:rsidRPr="00600A63">
        <w:rPr>
          <w:rFonts w:ascii="Cambria" w:hAnsi="Cambria"/>
        </w:rPr>
        <w:t xml:space="preserve"> CSO</w:t>
      </w:r>
      <w:r w:rsidR="00234946" w:rsidRPr="00600A63">
        <w:rPr>
          <w:rFonts w:ascii="Cambria" w:hAnsi="Cambria"/>
        </w:rPr>
        <w:t>s</w:t>
      </w:r>
      <w:r w:rsidR="002C4869" w:rsidRPr="00600A63">
        <w:rPr>
          <w:rFonts w:ascii="Cambria" w:hAnsi="Cambria"/>
        </w:rPr>
        <w:t xml:space="preserve"> selected through open selection process, in cooperation with national multi-stakeholder team</w:t>
      </w:r>
      <w:r w:rsidR="00234946" w:rsidRPr="00600A63">
        <w:rPr>
          <w:rFonts w:ascii="Cambria" w:hAnsi="Cambria"/>
        </w:rPr>
        <w:t xml:space="preserve"> in each of the participating</w:t>
      </w:r>
      <w:r w:rsidR="00FA2E6E" w:rsidRPr="00600A63">
        <w:rPr>
          <w:rFonts w:ascii="Cambria" w:hAnsi="Cambria"/>
        </w:rPr>
        <w:t xml:space="preserve"> countries</w:t>
      </w:r>
      <w:r w:rsidR="002C4869" w:rsidRPr="00600A63">
        <w:rPr>
          <w:rFonts w:ascii="Cambria" w:hAnsi="Cambria"/>
        </w:rPr>
        <w:t xml:space="preserve">. </w:t>
      </w:r>
      <w:r w:rsidR="00234946" w:rsidRPr="00600A63">
        <w:rPr>
          <w:rFonts w:ascii="Cambria" w:hAnsi="Cambria"/>
        </w:rPr>
        <w:t>External consultants</w:t>
      </w:r>
      <w:r w:rsidR="00EF71A1" w:rsidRPr="00600A63">
        <w:rPr>
          <w:rFonts w:ascii="Cambria" w:hAnsi="Cambria"/>
        </w:rPr>
        <w:t xml:space="preserve"> will provide overall guidance and ensure technical expertise during the whole process</w:t>
      </w:r>
      <w:r w:rsidR="00AD6C5F" w:rsidRPr="00600A63">
        <w:rPr>
          <w:rFonts w:ascii="Cambria" w:hAnsi="Cambria"/>
        </w:rPr>
        <w:t>.</w:t>
      </w:r>
      <w:r w:rsidR="00EF71A1" w:rsidRPr="00600A63">
        <w:rPr>
          <w:rFonts w:ascii="Cambria" w:hAnsi="Cambria"/>
        </w:rPr>
        <w:t xml:space="preserve"> This will require </w:t>
      </w:r>
      <w:r w:rsidR="00733D99" w:rsidRPr="00600A63">
        <w:rPr>
          <w:rFonts w:ascii="Cambria" w:hAnsi="Cambria"/>
        </w:rPr>
        <w:t>providing remote support</w:t>
      </w:r>
      <w:r w:rsidR="00EF71A1" w:rsidRPr="00600A63">
        <w:rPr>
          <w:rFonts w:ascii="Cambria" w:hAnsi="Cambria"/>
        </w:rPr>
        <w:t xml:space="preserve">, and travel to, and participation in, meetings in the countries of assessment. </w:t>
      </w:r>
      <w:r w:rsidR="00AE4939" w:rsidRPr="00600A63">
        <w:rPr>
          <w:rFonts w:ascii="Cambria" w:hAnsi="Cambria"/>
        </w:rPr>
        <w:t>In addition, a</w:t>
      </w:r>
      <w:r w:rsidR="00EF71A1" w:rsidRPr="00600A63">
        <w:rPr>
          <w:rFonts w:ascii="Cambria" w:hAnsi="Cambria"/>
        </w:rPr>
        <w:t xml:space="preserve"> </w:t>
      </w:r>
      <w:r w:rsidR="00AE4939" w:rsidRPr="00600A63">
        <w:rPr>
          <w:rFonts w:ascii="Cambria" w:hAnsi="Cambria"/>
        </w:rPr>
        <w:t>regional analysis that will give a regional perspective and summarize results from all countries in the region with available data will be produced.</w:t>
      </w:r>
    </w:p>
    <w:p w14:paraId="0F70BD54" w14:textId="1BF74603" w:rsidR="00194B64" w:rsidRPr="00600A63" w:rsidRDefault="00194B64" w:rsidP="00194B64">
      <w:pPr>
        <w:jc w:val="both"/>
        <w:rPr>
          <w:rFonts w:asciiTheme="majorHAnsi" w:hAnsiTheme="majorHAnsi"/>
          <w:lang w:val="en-US"/>
        </w:rPr>
      </w:pPr>
    </w:p>
    <w:p w14:paraId="77E9640C" w14:textId="34E5D394" w:rsidR="002936A3" w:rsidRPr="00600A63" w:rsidRDefault="000371C3" w:rsidP="00C30FEA">
      <w:pPr>
        <w:pStyle w:val="ListParagraph"/>
        <w:numPr>
          <w:ilvl w:val="0"/>
          <w:numId w:val="21"/>
        </w:numPr>
        <w:spacing w:after="240"/>
        <w:jc w:val="both"/>
        <w:rPr>
          <w:rFonts w:asciiTheme="majorHAnsi" w:hAnsiTheme="majorHAnsi"/>
          <w:lang w:val="en-US"/>
        </w:rPr>
      </w:pPr>
      <w:r w:rsidRPr="00600A63">
        <w:rPr>
          <w:rFonts w:asciiTheme="majorHAnsi" w:hAnsiTheme="majorHAnsi"/>
          <w:b/>
          <w:lang w:val="en-US"/>
        </w:rPr>
        <w:t>Scope of work</w:t>
      </w:r>
    </w:p>
    <w:p w14:paraId="0B7E743B" w14:textId="09E3A890" w:rsidR="009A2DE2" w:rsidRPr="00600A63" w:rsidRDefault="00A84DC3" w:rsidP="00605C67">
      <w:pPr>
        <w:spacing w:before="240" w:after="160" w:line="259" w:lineRule="auto"/>
        <w:rPr>
          <w:rFonts w:ascii="Cambria" w:hAnsi="Cambria"/>
        </w:rPr>
      </w:pPr>
      <w:r w:rsidRPr="00600A63">
        <w:rPr>
          <w:rFonts w:ascii="Cambria" w:hAnsi="Cambria"/>
        </w:rPr>
        <w:lastRenderedPageBreak/>
        <w:t xml:space="preserve">Support and ensure quality assurance of </w:t>
      </w:r>
      <w:r w:rsidR="00A44554" w:rsidRPr="00600A63">
        <w:rPr>
          <w:rFonts w:ascii="Cambria" w:hAnsi="Cambria"/>
        </w:rPr>
        <w:t>country-specific</w:t>
      </w:r>
      <w:r w:rsidR="00FB2C4E" w:rsidRPr="00600A63">
        <w:rPr>
          <w:rFonts w:ascii="Cambria" w:hAnsi="Cambria"/>
        </w:rPr>
        <w:t xml:space="preserve"> </w:t>
      </w:r>
      <w:r w:rsidR="00FA2E6E" w:rsidRPr="00600A63">
        <w:rPr>
          <w:rFonts w:ascii="Cambria" w:hAnsi="Cambria"/>
        </w:rPr>
        <w:t>assessment</w:t>
      </w:r>
      <w:r w:rsidRPr="00600A63">
        <w:rPr>
          <w:rFonts w:ascii="Cambria" w:hAnsi="Cambria"/>
        </w:rPr>
        <w:t>s</w:t>
      </w:r>
      <w:r w:rsidR="00FA2E6E" w:rsidRPr="00600A63">
        <w:rPr>
          <w:rFonts w:ascii="Cambria" w:hAnsi="Cambria"/>
        </w:rPr>
        <w:t xml:space="preserve"> </w:t>
      </w:r>
      <w:r w:rsidR="00985ECC" w:rsidRPr="00600A63">
        <w:rPr>
          <w:rFonts w:ascii="Cambria" w:hAnsi="Cambria"/>
        </w:rPr>
        <w:t>to identify and document barriers i</w:t>
      </w:r>
      <w:r w:rsidR="00A44554" w:rsidRPr="00600A63">
        <w:rPr>
          <w:rFonts w:ascii="Cambria" w:hAnsi="Cambria"/>
        </w:rPr>
        <w:t>n four dimensions of the response to TB – gender, law and human rights, key and priority populations and stigma</w:t>
      </w:r>
      <w:r w:rsidRPr="00600A63">
        <w:rPr>
          <w:rFonts w:ascii="Cambria" w:hAnsi="Cambria"/>
        </w:rPr>
        <w:t>, and produce regional analysis</w:t>
      </w:r>
      <w:r w:rsidR="00F25A6A" w:rsidRPr="00600A63">
        <w:rPr>
          <w:rFonts w:ascii="Cambria" w:hAnsi="Cambria"/>
        </w:rPr>
        <w:t xml:space="preserve">. The Consultant is expected to conduct the following activities: </w:t>
      </w:r>
    </w:p>
    <w:p w14:paraId="6E93CF2C" w14:textId="77777777" w:rsidR="009A33D4" w:rsidRPr="00600A63" w:rsidRDefault="009A33D4" w:rsidP="009A33D4">
      <w:pPr>
        <w:spacing w:before="240" w:after="160" w:line="259" w:lineRule="auto"/>
        <w:rPr>
          <w:rFonts w:ascii="Cambria" w:hAnsi="Cambria"/>
        </w:rPr>
      </w:pPr>
      <w:r w:rsidRPr="00600A63">
        <w:rPr>
          <w:rFonts w:ascii="Cambria" w:hAnsi="Cambria"/>
        </w:rPr>
        <w:t>Multi-country workshop:</w:t>
      </w:r>
    </w:p>
    <w:p w14:paraId="21E1A4AA" w14:textId="3EDAA479" w:rsidR="007F44DE" w:rsidRPr="00600A63" w:rsidRDefault="007F44DE" w:rsidP="009A33D4">
      <w:pPr>
        <w:pStyle w:val="ListParagraph"/>
        <w:numPr>
          <w:ilvl w:val="0"/>
          <w:numId w:val="45"/>
        </w:numPr>
        <w:spacing w:after="160" w:line="259" w:lineRule="auto"/>
        <w:rPr>
          <w:rFonts w:ascii="Cambria" w:hAnsi="Cambria"/>
        </w:rPr>
      </w:pPr>
      <w:r w:rsidRPr="00600A63">
        <w:rPr>
          <w:rFonts w:ascii="Cambria" w:hAnsi="Cambria"/>
        </w:rPr>
        <w:t>Develop agenda of the multi-country workshop - country teams will be familiarized with and trained in the implementation of the CRG assessment tools.</w:t>
      </w:r>
    </w:p>
    <w:p w14:paraId="377FC1BF" w14:textId="77777777" w:rsidR="009A33D4" w:rsidRPr="00600A63" w:rsidRDefault="009A33D4" w:rsidP="009A33D4">
      <w:pPr>
        <w:pStyle w:val="ListParagraph"/>
        <w:numPr>
          <w:ilvl w:val="0"/>
          <w:numId w:val="45"/>
        </w:numPr>
        <w:spacing w:after="160" w:line="259" w:lineRule="auto"/>
        <w:rPr>
          <w:rFonts w:ascii="Cambria" w:hAnsi="Cambria"/>
        </w:rPr>
      </w:pPr>
      <w:r w:rsidRPr="00600A63">
        <w:rPr>
          <w:rFonts w:ascii="Cambria" w:hAnsi="Cambria"/>
        </w:rPr>
        <w:t xml:space="preserve">Prepare the content of the multi-country two-day workshop for country teams to be involved in conducting country assessments. </w:t>
      </w:r>
    </w:p>
    <w:p w14:paraId="7B971880" w14:textId="5E46549B" w:rsidR="009A33D4" w:rsidRPr="00600A63" w:rsidRDefault="009A33D4" w:rsidP="007F44DE">
      <w:pPr>
        <w:pStyle w:val="ListParagraph"/>
        <w:numPr>
          <w:ilvl w:val="0"/>
          <w:numId w:val="45"/>
        </w:numPr>
        <w:spacing w:after="160" w:line="259" w:lineRule="auto"/>
        <w:rPr>
          <w:rFonts w:ascii="Cambria" w:hAnsi="Cambria"/>
        </w:rPr>
      </w:pPr>
      <w:r w:rsidRPr="00600A63">
        <w:rPr>
          <w:rFonts w:ascii="Cambria" w:hAnsi="Cambria"/>
        </w:rPr>
        <w:t xml:space="preserve">Facilitate the multi-country two-day workshop. All logistical arrangements for the event will be ensured by the PAS </w:t>
      </w:r>
      <w:proofErr w:type="spellStart"/>
      <w:r w:rsidRPr="00600A63">
        <w:rPr>
          <w:rFonts w:ascii="Cambria" w:hAnsi="Cambria"/>
        </w:rPr>
        <w:t>Center</w:t>
      </w:r>
      <w:proofErr w:type="spellEnd"/>
      <w:r w:rsidRPr="00600A63">
        <w:rPr>
          <w:rFonts w:ascii="Cambria" w:hAnsi="Cambria"/>
        </w:rPr>
        <w:t>.</w:t>
      </w:r>
    </w:p>
    <w:p w14:paraId="5503CEA8" w14:textId="217E5ECD" w:rsidR="00F25A6A" w:rsidRPr="00600A63" w:rsidRDefault="00F25A6A" w:rsidP="00605C67">
      <w:pPr>
        <w:spacing w:before="240" w:after="160" w:line="259" w:lineRule="auto"/>
        <w:rPr>
          <w:rFonts w:ascii="Cambria" w:hAnsi="Cambria"/>
        </w:rPr>
      </w:pPr>
      <w:r w:rsidRPr="00600A63">
        <w:rPr>
          <w:rFonts w:ascii="Cambria" w:hAnsi="Cambria"/>
        </w:rPr>
        <w:t>Preparatory work</w:t>
      </w:r>
      <w:r w:rsidR="00CC6A22" w:rsidRPr="00600A63">
        <w:rPr>
          <w:rFonts w:ascii="Cambria" w:hAnsi="Cambria"/>
        </w:rPr>
        <w:t xml:space="preserve"> </w:t>
      </w:r>
      <w:r w:rsidR="00B56FB1" w:rsidRPr="00600A63">
        <w:rPr>
          <w:rFonts w:ascii="Cambria" w:hAnsi="Cambria"/>
        </w:rPr>
        <w:t>(three countries)</w:t>
      </w:r>
      <w:r w:rsidRPr="00600A63">
        <w:rPr>
          <w:rFonts w:ascii="Cambria" w:hAnsi="Cambria"/>
        </w:rPr>
        <w:t>:</w:t>
      </w:r>
    </w:p>
    <w:p w14:paraId="1A2B50CD" w14:textId="12005CC6" w:rsidR="00F25A6A" w:rsidRPr="00600A63" w:rsidRDefault="00F25A6A" w:rsidP="00F25A6A">
      <w:pPr>
        <w:pStyle w:val="ListParagraph"/>
        <w:numPr>
          <w:ilvl w:val="0"/>
          <w:numId w:val="44"/>
        </w:numPr>
        <w:spacing w:before="240" w:after="160" w:line="259" w:lineRule="auto"/>
        <w:rPr>
          <w:rFonts w:ascii="Cambria" w:hAnsi="Cambria"/>
        </w:rPr>
      </w:pPr>
      <w:r w:rsidRPr="00600A63">
        <w:rPr>
          <w:rFonts w:ascii="Cambria" w:hAnsi="Cambria"/>
        </w:rPr>
        <w:t>Support country teams in adjusting available tools on CRG-related assessment of TB response in accordance with the country context</w:t>
      </w:r>
    </w:p>
    <w:p w14:paraId="7DF7D3E5" w14:textId="2049BAEA" w:rsidR="00EA6DA9" w:rsidRPr="00600A63" w:rsidRDefault="00A01910" w:rsidP="009A33D4">
      <w:pPr>
        <w:pStyle w:val="ListParagraph"/>
        <w:numPr>
          <w:ilvl w:val="0"/>
          <w:numId w:val="44"/>
        </w:numPr>
        <w:spacing w:before="240" w:after="160" w:line="259" w:lineRule="auto"/>
        <w:rPr>
          <w:rFonts w:ascii="Cambria" w:hAnsi="Cambria"/>
        </w:rPr>
      </w:pPr>
      <w:r w:rsidRPr="00600A63">
        <w:rPr>
          <w:rFonts w:ascii="Cambria" w:hAnsi="Cambria"/>
        </w:rPr>
        <w:t>Conduct desk review of the strategies and programs related to TB response and publications covering CRG-related barriers to TB services</w:t>
      </w:r>
      <w:r w:rsidR="009416AB" w:rsidRPr="00600A63">
        <w:rPr>
          <w:rFonts w:ascii="Cambria" w:hAnsi="Cambria"/>
        </w:rPr>
        <w:t>, in the 3 countries and in other countries in the region</w:t>
      </w:r>
      <w:r w:rsidRPr="00600A63">
        <w:rPr>
          <w:rFonts w:ascii="Cambria" w:hAnsi="Cambria"/>
        </w:rPr>
        <w:t xml:space="preserve"> </w:t>
      </w:r>
    </w:p>
    <w:p w14:paraId="403BA27E" w14:textId="7FDE358B" w:rsidR="00EA6DA9" w:rsidRPr="00600A63" w:rsidRDefault="009A33D4" w:rsidP="009A33D4">
      <w:pPr>
        <w:pStyle w:val="ListParagraph"/>
        <w:numPr>
          <w:ilvl w:val="0"/>
          <w:numId w:val="44"/>
        </w:numPr>
        <w:spacing w:before="240" w:after="160" w:line="259" w:lineRule="auto"/>
        <w:rPr>
          <w:rFonts w:ascii="Cambria" w:hAnsi="Cambria"/>
        </w:rPr>
      </w:pPr>
      <w:r w:rsidRPr="00600A63">
        <w:rPr>
          <w:rFonts w:ascii="Cambria" w:hAnsi="Cambria"/>
        </w:rPr>
        <w:t>S</w:t>
      </w:r>
      <w:r w:rsidR="00EA6DA9" w:rsidRPr="00600A63">
        <w:rPr>
          <w:rFonts w:ascii="Cambria" w:hAnsi="Cambria"/>
        </w:rPr>
        <w:t>upport local</w:t>
      </w:r>
      <w:r w:rsidR="00A01910" w:rsidRPr="00600A63">
        <w:rPr>
          <w:rFonts w:ascii="Cambria" w:hAnsi="Cambria"/>
        </w:rPr>
        <w:t xml:space="preserve"> CSOs in developing the list of key informants and types of focus groups to guide data collection</w:t>
      </w:r>
      <w:r w:rsidR="003B0A5B" w:rsidRPr="00600A63">
        <w:rPr>
          <w:rFonts w:ascii="Cambria" w:hAnsi="Cambria"/>
        </w:rPr>
        <w:t>.</w:t>
      </w:r>
    </w:p>
    <w:p w14:paraId="22F2DA5A" w14:textId="23AC7E6D" w:rsidR="00F25A6A" w:rsidRPr="00600A63" w:rsidRDefault="00F25A6A" w:rsidP="00605C67">
      <w:pPr>
        <w:spacing w:before="240" w:after="160" w:line="259" w:lineRule="auto"/>
        <w:rPr>
          <w:rFonts w:ascii="Cambria" w:hAnsi="Cambria"/>
        </w:rPr>
      </w:pPr>
      <w:r w:rsidRPr="00600A63">
        <w:rPr>
          <w:rFonts w:ascii="Cambria" w:hAnsi="Cambria"/>
        </w:rPr>
        <w:t>In-country work</w:t>
      </w:r>
      <w:r w:rsidR="00CC6A22" w:rsidRPr="00600A63">
        <w:rPr>
          <w:rFonts w:ascii="Cambria" w:hAnsi="Cambria"/>
        </w:rPr>
        <w:t xml:space="preserve"> (three</w:t>
      </w:r>
      <w:r w:rsidR="00AC37C4" w:rsidRPr="00600A63">
        <w:rPr>
          <w:rFonts w:ascii="Cambria" w:hAnsi="Cambria"/>
        </w:rPr>
        <w:t xml:space="preserve"> countries)</w:t>
      </w:r>
      <w:r w:rsidRPr="00600A63">
        <w:rPr>
          <w:rFonts w:ascii="Cambria" w:hAnsi="Cambria"/>
        </w:rPr>
        <w:t>:</w:t>
      </w:r>
    </w:p>
    <w:p w14:paraId="1B2797AC" w14:textId="02B1D30F" w:rsidR="00813397" w:rsidRPr="00600A63" w:rsidRDefault="00CC6A22" w:rsidP="00F25A6A">
      <w:pPr>
        <w:pStyle w:val="ListParagraph"/>
        <w:numPr>
          <w:ilvl w:val="0"/>
          <w:numId w:val="38"/>
        </w:numPr>
        <w:spacing w:before="240" w:after="160" w:line="259" w:lineRule="auto"/>
        <w:rPr>
          <w:rFonts w:ascii="Cambria" w:hAnsi="Cambria"/>
        </w:rPr>
      </w:pPr>
      <w:r w:rsidRPr="00600A63">
        <w:rPr>
          <w:rFonts w:ascii="Cambria" w:hAnsi="Cambria"/>
        </w:rPr>
        <w:t xml:space="preserve">Participation in the inception meeting to </w:t>
      </w:r>
      <w:r w:rsidR="003B0A5B" w:rsidRPr="00600A63">
        <w:rPr>
          <w:rFonts w:ascii="Cambria" w:hAnsi="Cambria"/>
        </w:rPr>
        <w:t>explain the role of the assessment and foster</w:t>
      </w:r>
      <w:r w:rsidR="00AC37C4" w:rsidRPr="00600A63">
        <w:rPr>
          <w:rFonts w:ascii="Cambria" w:hAnsi="Cambria"/>
        </w:rPr>
        <w:t xml:space="preserve"> the dialogue among</w:t>
      </w:r>
      <w:r w:rsidR="003B0A5B" w:rsidRPr="00600A63">
        <w:rPr>
          <w:rFonts w:ascii="Cambria" w:hAnsi="Cambria"/>
        </w:rPr>
        <w:t xml:space="preserve"> relevant</w:t>
      </w:r>
      <w:r w:rsidR="00AC37C4" w:rsidRPr="00600A63">
        <w:rPr>
          <w:rFonts w:ascii="Cambria" w:hAnsi="Cambria"/>
        </w:rPr>
        <w:t xml:space="preserve"> stakeholders to i</w:t>
      </w:r>
      <w:r w:rsidR="003B0A5B" w:rsidRPr="00600A63">
        <w:rPr>
          <w:rFonts w:ascii="Cambria" w:hAnsi="Cambria"/>
        </w:rPr>
        <w:t>dentify CRG-related barriers to TB services.</w:t>
      </w:r>
    </w:p>
    <w:p w14:paraId="68748B2E" w14:textId="353545B1" w:rsidR="00F25A6A" w:rsidRPr="00600A63" w:rsidRDefault="00CC6A22" w:rsidP="00605C67">
      <w:pPr>
        <w:pStyle w:val="ListParagraph"/>
        <w:numPr>
          <w:ilvl w:val="0"/>
          <w:numId w:val="38"/>
        </w:numPr>
        <w:spacing w:before="240" w:after="160" w:line="259" w:lineRule="auto"/>
        <w:rPr>
          <w:rFonts w:ascii="Cambria" w:hAnsi="Cambria"/>
        </w:rPr>
      </w:pPr>
      <w:r w:rsidRPr="00600A63">
        <w:rPr>
          <w:rFonts w:ascii="Cambria" w:hAnsi="Cambria"/>
        </w:rPr>
        <w:t>Participation in</w:t>
      </w:r>
      <w:r w:rsidR="00F25A6A" w:rsidRPr="00600A63">
        <w:rPr>
          <w:rFonts w:ascii="Cambria" w:hAnsi="Cambria"/>
        </w:rPr>
        <w:t xml:space="preserve"> meeting with s</w:t>
      </w:r>
      <w:r w:rsidRPr="00600A63">
        <w:rPr>
          <w:rFonts w:ascii="Cambria" w:hAnsi="Cambria"/>
        </w:rPr>
        <w:t>takeholders to present and validate assessment results</w:t>
      </w:r>
      <w:r w:rsidR="0075024A" w:rsidRPr="00600A63">
        <w:rPr>
          <w:rFonts w:ascii="Cambria" w:hAnsi="Cambria"/>
        </w:rPr>
        <w:t xml:space="preserve"> and recommended programmatic actions</w:t>
      </w:r>
      <w:r w:rsidR="00F25A6A" w:rsidRPr="00600A63">
        <w:rPr>
          <w:rFonts w:ascii="Cambria" w:hAnsi="Cambria"/>
        </w:rPr>
        <w:t>.</w:t>
      </w:r>
    </w:p>
    <w:p w14:paraId="3BDA0B29" w14:textId="0067AF04" w:rsidR="00F25A6A" w:rsidRPr="00600A63" w:rsidRDefault="00CC6A22" w:rsidP="00605C67">
      <w:pPr>
        <w:spacing w:before="240" w:after="160" w:line="259" w:lineRule="auto"/>
        <w:rPr>
          <w:rFonts w:ascii="Cambria" w:hAnsi="Cambria"/>
        </w:rPr>
      </w:pPr>
      <w:r w:rsidRPr="00600A63">
        <w:rPr>
          <w:rFonts w:ascii="Cambria" w:hAnsi="Cambria"/>
        </w:rPr>
        <w:t>Data analysis and reporting</w:t>
      </w:r>
      <w:r w:rsidR="00F25A6A" w:rsidRPr="00600A63">
        <w:rPr>
          <w:rFonts w:ascii="Cambria" w:hAnsi="Cambria"/>
        </w:rPr>
        <w:t>:</w:t>
      </w:r>
    </w:p>
    <w:p w14:paraId="379B263C" w14:textId="3D6A350F" w:rsidR="0075296E" w:rsidRPr="00600A63" w:rsidRDefault="0075296E" w:rsidP="00F25A6A">
      <w:pPr>
        <w:pStyle w:val="ListParagraph"/>
        <w:numPr>
          <w:ilvl w:val="0"/>
          <w:numId w:val="38"/>
        </w:numPr>
        <w:spacing w:before="240" w:after="160" w:line="259" w:lineRule="auto"/>
        <w:rPr>
          <w:rFonts w:ascii="Cambria" w:hAnsi="Cambria"/>
        </w:rPr>
      </w:pPr>
      <w:r w:rsidRPr="00600A63">
        <w:rPr>
          <w:rFonts w:ascii="Cambria" w:hAnsi="Cambria"/>
        </w:rPr>
        <w:t>Support country teams in conducting data analysis</w:t>
      </w:r>
    </w:p>
    <w:p w14:paraId="0DCE1C61" w14:textId="583938C4" w:rsidR="00CB7391" w:rsidRPr="00600A63" w:rsidRDefault="00F25A6A" w:rsidP="00F25A6A">
      <w:pPr>
        <w:pStyle w:val="ListParagraph"/>
        <w:numPr>
          <w:ilvl w:val="0"/>
          <w:numId w:val="38"/>
        </w:numPr>
        <w:spacing w:before="240" w:after="160" w:line="259" w:lineRule="auto"/>
        <w:rPr>
          <w:rFonts w:ascii="Cambria" w:hAnsi="Cambria"/>
        </w:rPr>
      </w:pPr>
      <w:r w:rsidRPr="00600A63">
        <w:rPr>
          <w:rFonts w:ascii="Cambria" w:hAnsi="Cambria"/>
        </w:rPr>
        <w:t xml:space="preserve">Contribution to the development of the country-specific CRG assessment reports for each participating country, along with a country CSO. The support will include providing inputs and comments on the structure and content of the report. CRG assessment report will include findings and recommendations on policy and program change addressing identified barriers in all four dimensions: gender, law and human rights, key and priority populations and stigma. </w:t>
      </w:r>
    </w:p>
    <w:p w14:paraId="49EEDEAB" w14:textId="357FFE75" w:rsidR="009F799A" w:rsidRPr="00600A63" w:rsidRDefault="009F799A" w:rsidP="003E6696">
      <w:pPr>
        <w:spacing w:before="240" w:after="160" w:line="259" w:lineRule="auto"/>
        <w:rPr>
          <w:rFonts w:ascii="Cambria" w:hAnsi="Cambria"/>
        </w:rPr>
      </w:pPr>
      <w:r w:rsidRPr="00600A63">
        <w:rPr>
          <w:rFonts w:ascii="Cambria" w:hAnsi="Cambria"/>
        </w:rPr>
        <w:t>Regional analysis report</w:t>
      </w:r>
    </w:p>
    <w:p w14:paraId="6BE118C4" w14:textId="7DC6624B" w:rsidR="009F799A" w:rsidRPr="00600A63" w:rsidRDefault="009F799A" w:rsidP="009F799A">
      <w:pPr>
        <w:pStyle w:val="ListParagraph"/>
        <w:numPr>
          <w:ilvl w:val="0"/>
          <w:numId w:val="46"/>
        </w:numPr>
        <w:spacing w:before="240" w:after="160" w:line="259" w:lineRule="auto"/>
        <w:rPr>
          <w:rFonts w:ascii="Cambria" w:hAnsi="Cambria"/>
        </w:rPr>
      </w:pPr>
      <w:r w:rsidRPr="00600A63">
        <w:rPr>
          <w:rFonts w:ascii="Cambria" w:hAnsi="Cambria"/>
        </w:rPr>
        <w:t>Comprehensively</w:t>
      </w:r>
      <w:r w:rsidR="00AE4939" w:rsidRPr="00600A63">
        <w:rPr>
          <w:rFonts w:ascii="Cambria" w:hAnsi="Cambria"/>
        </w:rPr>
        <w:t xml:space="preserve"> review</w:t>
      </w:r>
      <w:r w:rsidRPr="00600A63">
        <w:rPr>
          <w:rFonts w:ascii="Cambria" w:hAnsi="Cambria"/>
        </w:rPr>
        <w:t xml:space="preserve"> </w:t>
      </w:r>
      <w:r w:rsidR="00E631BC" w:rsidRPr="00600A63">
        <w:rPr>
          <w:rFonts w:ascii="Cambria" w:hAnsi="Cambria"/>
        </w:rPr>
        <w:t xml:space="preserve">of the </w:t>
      </w:r>
      <w:r w:rsidRPr="00600A63">
        <w:rPr>
          <w:rFonts w:ascii="Cambria" w:hAnsi="Cambria"/>
        </w:rPr>
        <w:t xml:space="preserve">results of </w:t>
      </w:r>
      <w:r w:rsidR="00AE4939" w:rsidRPr="00600A63">
        <w:rPr>
          <w:rFonts w:ascii="Cambria" w:hAnsi="Cambria"/>
        </w:rPr>
        <w:t xml:space="preserve">the country specific </w:t>
      </w:r>
      <w:r w:rsidRPr="00600A63">
        <w:rPr>
          <w:rFonts w:ascii="Cambria" w:hAnsi="Cambria"/>
        </w:rPr>
        <w:t xml:space="preserve">CRG assessment </w:t>
      </w:r>
      <w:r w:rsidR="00AE4939" w:rsidRPr="00600A63">
        <w:rPr>
          <w:rFonts w:ascii="Cambria" w:hAnsi="Cambria"/>
        </w:rPr>
        <w:t xml:space="preserve">in relation to TB response </w:t>
      </w:r>
      <w:r w:rsidRPr="00600A63">
        <w:rPr>
          <w:rFonts w:ascii="Cambria" w:hAnsi="Cambria"/>
        </w:rPr>
        <w:t xml:space="preserve">conducted </w:t>
      </w:r>
      <w:r w:rsidR="00AE4939" w:rsidRPr="00600A63">
        <w:rPr>
          <w:rFonts w:ascii="Cambria" w:hAnsi="Cambria"/>
        </w:rPr>
        <w:t xml:space="preserve">in EECA countries (three countries under the </w:t>
      </w:r>
      <w:r w:rsidR="00AE4939" w:rsidRPr="00600A63">
        <w:rPr>
          <w:rFonts w:ascii="Cambria" w:hAnsi="Cambria"/>
        </w:rPr>
        <w:lastRenderedPageBreak/>
        <w:t xml:space="preserve">current assignment, </w:t>
      </w:r>
      <w:r w:rsidR="00E631BC" w:rsidRPr="00600A63">
        <w:rPr>
          <w:rFonts w:ascii="Cambria" w:hAnsi="Cambria"/>
        </w:rPr>
        <w:t xml:space="preserve">1 country under CRG SI, </w:t>
      </w:r>
      <w:r w:rsidR="00AE4939" w:rsidRPr="00600A63">
        <w:rPr>
          <w:rFonts w:ascii="Cambria" w:hAnsi="Cambria"/>
        </w:rPr>
        <w:t xml:space="preserve">Kyrgyzstan </w:t>
      </w:r>
      <w:r w:rsidR="00E631BC" w:rsidRPr="00600A63">
        <w:rPr>
          <w:rFonts w:ascii="Cambria" w:hAnsi="Cambria"/>
        </w:rPr>
        <w:t xml:space="preserve">baseline assessment </w:t>
      </w:r>
      <w:r w:rsidR="00AE4939" w:rsidRPr="00600A63">
        <w:rPr>
          <w:rFonts w:ascii="Cambria" w:hAnsi="Cambria"/>
        </w:rPr>
        <w:t>and</w:t>
      </w:r>
      <w:r w:rsidRPr="00600A63">
        <w:rPr>
          <w:rFonts w:ascii="Cambria" w:hAnsi="Cambria"/>
        </w:rPr>
        <w:t xml:space="preserve"> </w:t>
      </w:r>
      <w:r w:rsidR="00AE4939" w:rsidRPr="00600A63">
        <w:rPr>
          <w:rFonts w:ascii="Cambria" w:hAnsi="Cambria"/>
        </w:rPr>
        <w:t xml:space="preserve">Ukraine </w:t>
      </w:r>
      <w:r w:rsidR="00E631BC" w:rsidRPr="00600A63">
        <w:rPr>
          <w:rFonts w:ascii="Cambria" w:hAnsi="Cambria"/>
        </w:rPr>
        <w:t xml:space="preserve">TB </w:t>
      </w:r>
      <w:r w:rsidR="00AE4939" w:rsidRPr="00600A63">
        <w:rPr>
          <w:rFonts w:ascii="Cambria" w:hAnsi="Cambria"/>
        </w:rPr>
        <w:t xml:space="preserve">CRG assessment </w:t>
      </w:r>
      <w:r w:rsidR="00E631BC" w:rsidRPr="00600A63">
        <w:rPr>
          <w:rFonts w:ascii="Cambria" w:hAnsi="Cambria"/>
        </w:rPr>
        <w:t xml:space="preserve">and human rights baseline assessment </w:t>
      </w:r>
      <w:r w:rsidR="00AE4939" w:rsidRPr="00600A63">
        <w:rPr>
          <w:rFonts w:ascii="Cambria" w:hAnsi="Cambria"/>
        </w:rPr>
        <w:t>results produced in 2018)</w:t>
      </w:r>
    </w:p>
    <w:p w14:paraId="124CD337" w14:textId="7DA6CD58" w:rsidR="00AE4939" w:rsidRPr="00600A63" w:rsidRDefault="00AE4939" w:rsidP="009F799A">
      <w:pPr>
        <w:pStyle w:val="ListParagraph"/>
        <w:numPr>
          <w:ilvl w:val="0"/>
          <w:numId w:val="46"/>
        </w:numPr>
        <w:spacing w:before="240" w:after="160" w:line="259" w:lineRule="auto"/>
        <w:rPr>
          <w:rFonts w:ascii="Cambria" w:hAnsi="Cambria"/>
        </w:rPr>
      </w:pPr>
      <w:r w:rsidRPr="00600A63">
        <w:rPr>
          <w:rFonts w:ascii="Cambria" w:hAnsi="Cambria"/>
        </w:rPr>
        <w:t xml:space="preserve">Develop a regional paper highlighting regional perspective on the CRG-related barriers to TB services and </w:t>
      </w:r>
      <w:r w:rsidR="00B10261" w:rsidRPr="00600A63">
        <w:rPr>
          <w:rFonts w:ascii="Cambria" w:hAnsi="Cambria"/>
        </w:rPr>
        <w:t>summarizing results for EECA countries with available data</w:t>
      </w:r>
      <w:r w:rsidRPr="00600A63">
        <w:rPr>
          <w:rFonts w:ascii="Cambria" w:hAnsi="Cambria"/>
        </w:rPr>
        <w:t xml:space="preserve"> </w:t>
      </w:r>
    </w:p>
    <w:p w14:paraId="476BDDEC" w14:textId="3EB5CA1D" w:rsidR="003E6696" w:rsidRPr="00600A63" w:rsidRDefault="00DD1849" w:rsidP="003E6696">
      <w:pPr>
        <w:spacing w:before="240" w:after="160" w:line="259" w:lineRule="auto"/>
        <w:rPr>
          <w:rFonts w:ascii="Cambria" w:hAnsi="Cambria"/>
        </w:rPr>
      </w:pPr>
      <w:r w:rsidRPr="00600A63">
        <w:rPr>
          <w:rFonts w:ascii="Cambria" w:hAnsi="Cambria"/>
        </w:rPr>
        <w:t xml:space="preserve">The work will be conducted in close cooperation with </w:t>
      </w:r>
      <w:r w:rsidR="00EA6DA9" w:rsidRPr="00600A63">
        <w:rPr>
          <w:rFonts w:ascii="Cambria" w:hAnsi="Cambria"/>
        </w:rPr>
        <w:t>country CSO in each of three</w:t>
      </w:r>
      <w:r w:rsidR="00F97EE3" w:rsidRPr="00600A63">
        <w:rPr>
          <w:rFonts w:ascii="Cambria" w:hAnsi="Cambria"/>
        </w:rPr>
        <w:t xml:space="preserve"> </w:t>
      </w:r>
      <w:r w:rsidRPr="00600A63">
        <w:rPr>
          <w:rFonts w:ascii="Cambria" w:hAnsi="Cambria"/>
        </w:rPr>
        <w:t xml:space="preserve">countries </w:t>
      </w:r>
      <w:r w:rsidR="0041354A" w:rsidRPr="00600A63">
        <w:rPr>
          <w:rFonts w:ascii="Cambria" w:hAnsi="Cambria"/>
        </w:rPr>
        <w:t xml:space="preserve">that will be </w:t>
      </w:r>
      <w:r w:rsidRPr="00600A63">
        <w:rPr>
          <w:rFonts w:ascii="Cambria" w:hAnsi="Cambria"/>
        </w:rPr>
        <w:t>undertak</w:t>
      </w:r>
      <w:r w:rsidR="0041354A" w:rsidRPr="00600A63">
        <w:rPr>
          <w:rFonts w:ascii="Cambria" w:hAnsi="Cambria"/>
        </w:rPr>
        <w:t>ing</w:t>
      </w:r>
      <w:r w:rsidRPr="00600A63">
        <w:rPr>
          <w:rFonts w:ascii="Cambria" w:hAnsi="Cambria"/>
        </w:rPr>
        <w:t xml:space="preserve"> the assessment</w:t>
      </w:r>
      <w:r w:rsidR="005E76EF" w:rsidRPr="00600A63">
        <w:rPr>
          <w:rFonts w:ascii="Cambria" w:hAnsi="Cambria"/>
        </w:rPr>
        <w:t xml:space="preserve"> under the coordination of the TB-REP team at the PAS </w:t>
      </w:r>
      <w:proofErr w:type="spellStart"/>
      <w:r w:rsidR="005E76EF" w:rsidRPr="00600A63">
        <w:rPr>
          <w:rFonts w:ascii="Cambria" w:hAnsi="Cambria"/>
        </w:rPr>
        <w:t>Center</w:t>
      </w:r>
      <w:proofErr w:type="spellEnd"/>
      <w:r w:rsidRPr="00600A63">
        <w:rPr>
          <w:rFonts w:ascii="Cambria" w:hAnsi="Cambria"/>
        </w:rPr>
        <w:t xml:space="preserve">. </w:t>
      </w:r>
      <w:r w:rsidR="00F97EE3" w:rsidRPr="00600A63">
        <w:rPr>
          <w:rFonts w:ascii="Cambria" w:hAnsi="Cambria"/>
        </w:rPr>
        <w:t>The C</w:t>
      </w:r>
      <w:r w:rsidR="000D7C4E" w:rsidRPr="00600A63">
        <w:rPr>
          <w:rFonts w:ascii="Cambria" w:hAnsi="Cambria"/>
        </w:rPr>
        <w:t xml:space="preserve">onsultant will report and submit all deliverables to the PAS </w:t>
      </w:r>
      <w:proofErr w:type="spellStart"/>
      <w:r w:rsidR="000D7C4E" w:rsidRPr="00600A63">
        <w:rPr>
          <w:rFonts w:ascii="Cambria" w:hAnsi="Cambria"/>
        </w:rPr>
        <w:t>Center</w:t>
      </w:r>
      <w:proofErr w:type="spellEnd"/>
      <w:r w:rsidR="000D7C4E" w:rsidRPr="00600A63">
        <w:rPr>
          <w:rFonts w:ascii="Cambria" w:hAnsi="Cambria"/>
        </w:rPr>
        <w:t xml:space="preserve">. </w:t>
      </w:r>
      <w:r w:rsidR="005476C4" w:rsidRPr="00600A63">
        <w:rPr>
          <w:rFonts w:ascii="Cambria" w:hAnsi="Cambria"/>
        </w:rPr>
        <w:t xml:space="preserve">All travel-related costs will be covered directly by the PAS </w:t>
      </w:r>
      <w:proofErr w:type="spellStart"/>
      <w:r w:rsidR="005476C4" w:rsidRPr="00600A63">
        <w:rPr>
          <w:rFonts w:ascii="Cambria" w:hAnsi="Cambria"/>
        </w:rPr>
        <w:t>Center</w:t>
      </w:r>
      <w:proofErr w:type="spellEnd"/>
      <w:r w:rsidR="005476C4" w:rsidRPr="00600A63">
        <w:rPr>
          <w:rFonts w:ascii="Cambria" w:hAnsi="Cambria"/>
        </w:rPr>
        <w:t xml:space="preserve">. </w:t>
      </w:r>
    </w:p>
    <w:p w14:paraId="60B1FFD5" w14:textId="15E0E108" w:rsidR="00B73BB2" w:rsidRPr="00600A63" w:rsidRDefault="00381651" w:rsidP="009318B7">
      <w:pPr>
        <w:pStyle w:val="ListParagraph"/>
        <w:numPr>
          <w:ilvl w:val="0"/>
          <w:numId w:val="21"/>
        </w:numPr>
        <w:spacing w:after="240"/>
        <w:jc w:val="both"/>
        <w:rPr>
          <w:rFonts w:asciiTheme="majorHAnsi" w:hAnsiTheme="majorHAnsi"/>
          <w:b/>
          <w:lang w:val="en-US"/>
        </w:rPr>
      </w:pPr>
      <w:r w:rsidRPr="00600A63">
        <w:rPr>
          <w:rFonts w:asciiTheme="majorHAnsi" w:hAnsiTheme="majorHAnsi"/>
          <w:b/>
          <w:lang w:val="en-US"/>
        </w:rPr>
        <w:t xml:space="preserve">Qualification requirements and basis for evaluation </w:t>
      </w:r>
    </w:p>
    <w:p w14:paraId="103013CF" w14:textId="7BEA33C4" w:rsidR="00B73BB2" w:rsidRPr="00600A63" w:rsidRDefault="00B73BB2" w:rsidP="00B73BB2">
      <w:pPr>
        <w:pStyle w:val="Default"/>
        <w:jc w:val="both"/>
        <w:rPr>
          <w:rFonts w:ascii="Cambria" w:hAnsi="Cambria" w:cs="Times New Roman"/>
          <w:color w:val="auto"/>
        </w:rPr>
      </w:pPr>
      <w:r w:rsidRPr="00600A63">
        <w:rPr>
          <w:rFonts w:ascii="Cambria" w:hAnsi="Cambria" w:cs="Times New Roman"/>
          <w:color w:val="auto"/>
        </w:rPr>
        <w:t xml:space="preserve">The work requires a team of four consultants with specific expertise in each of the following areas: </w:t>
      </w:r>
      <w:r w:rsidRPr="00600A63">
        <w:rPr>
          <w:rFonts w:ascii="Cambria" w:hAnsi="Cambria"/>
        </w:rPr>
        <w:t xml:space="preserve">gender, law and human rights, key and priority populations and stigma. One of the proposed consultants should be assigned as a team leader. </w:t>
      </w:r>
      <w:r w:rsidRPr="00600A63">
        <w:rPr>
          <w:rFonts w:ascii="Cambria" w:hAnsi="Cambria" w:cs="Times New Roman"/>
          <w:color w:val="auto"/>
        </w:rPr>
        <w:t>The applicant should enclose a resume for key-personnel anticipated to be assigned to the project and should include specific information on staff experience and roles.</w:t>
      </w:r>
    </w:p>
    <w:p w14:paraId="1F74B1BC" w14:textId="77777777" w:rsidR="00B73BB2" w:rsidRPr="00600A63" w:rsidRDefault="00B73BB2" w:rsidP="00B73BB2">
      <w:pPr>
        <w:pStyle w:val="Default"/>
        <w:jc w:val="both"/>
        <w:rPr>
          <w:rFonts w:ascii="Cambria" w:hAnsi="Cambria" w:cs="Times New Roman"/>
          <w:color w:val="auto"/>
        </w:rPr>
      </w:pPr>
    </w:p>
    <w:p w14:paraId="5AD3425A" w14:textId="77777777" w:rsidR="00B73BB2" w:rsidRPr="00600A63" w:rsidRDefault="00B73BB2" w:rsidP="00B73BB2">
      <w:pPr>
        <w:jc w:val="both"/>
        <w:rPr>
          <w:rFonts w:ascii="Cambria" w:hAnsi="Cambria"/>
        </w:rPr>
      </w:pPr>
      <w:r w:rsidRPr="00600A63">
        <w:rPr>
          <w:rFonts w:ascii="Cambria" w:hAnsi="Cambria"/>
          <w:spacing w:val="-2"/>
        </w:rPr>
        <w:t xml:space="preserve">The Qualification requirements and basis for evaluation (evaluation criteria) and selection of the consultant company </w:t>
      </w:r>
      <w:proofErr w:type="spellStart"/>
      <w:r w:rsidRPr="00600A63">
        <w:rPr>
          <w:rFonts w:ascii="Cambria" w:hAnsi="Cambria"/>
          <w:spacing w:val="-2"/>
        </w:rPr>
        <w:t>аrе</w:t>
      </w:r>
      <w:proofErr w:type="spellEnd"/>
      <w:r w:rsidRPr="00600A63">
        <w:rPr>
          <w:rFonts w:ascii="Cambria" w:hAnsi="Cambria"/>
          <w:spacing w:val="-2"/>
        </w:rPr>
        <w:t>:</w:t>
      </w:r>
    </w:p>
    <w:p w14:paraId="75A5545A" w14:textId="4AEB599D" w:rsidR="00B73BB2" w:rsidRPr="00600A63" w:rsidRDefault="00FA3146" w:rsidP="00B73BB2">
      <w:pPr>
        <w:pStyle w:val="ListParagraph"/>
        <w:numPr>
          <w:ilvl w:val="0"/>
          <w:numId w:val="19"/>
        </w:numPr>
        <w:jc w:val="both"/>
        <w:rPr>
          <w:rFonts w:asciiTheme="majorHAnsi" w:hAnsiTheme="majorHAnsi"/>
          <w:lang w:val="en-US"/>
        </w:rPr>
      </w:pPr>
      <w:r w:rsidRPr="00600A63">
        <w:rPr>
          <w:rFonts w:asciiTheme="majorHAnsi" w:hAnsiTheme="majorHAnsi"/>
          <w:lang w:val="en-US"/>
        </w:rPr>
        <w:t>General experience (2</w:t>
      </w:r>
      <w:r w:rsidR="00B73BB2" w:rsidRPr="00600A63">
        <w:rPr>
          <w:rFonts w:asciiTheme="majorHAnsi" w:hAnsiTheme="majorHAnsi"/>
          <w:lang w:val="en-US"/>
        </w:rPr>
        <w:t>0 points):</w:t>
      </w:r>
    </w:p>
    <w:p w14:paraId="62A202D8" w14:textId="2384DC80" w:rsidR="00B73BB2" w:rsidRPr="00600A63" w:rsidRDefault="00B73BB2" w:rsidP="00B73BB2">
      <w:pPr>
        <w:pStyle w:val="ListParagraph"/>
        <w:numPr>
          <w:ilvl w:val="0"/>
          <w:numId w:val="23"/>
        </w:numPr>
        <w:jc w:val="both"/>
        <w:rPr>
          <w:rFonts w:asciiTheme="majorHAnsi" w:hAnsiTheme="majorHAnsi"/>
          <w:lang w:val="en-US"/>
        </w:rPr>
      </w:pPr>
      <w:r w:rsidRPr="00600A63">
        <w:rPr>
          <w:rFonts w:asciiTheme="majorHAnsi" w:hAnsiTheme="majorHAnsi"/>
          <w:lang w:val="en-US"/>
        </w:rPr>
        <w:t xml:space="preserve">Minimum eight years of experience in </w:t>
      </w:r>
      <w:r w:rsidR="002A498D" w:rsidRPr="00600A63">
        <w:rPr>
          <w:rFonts w:asciiTheme="majorHAnsi" w:hAnsiTheme="majorHAnsi"/>
          <w:lang w:val="en-US"/>
        </w:rPr>
        <w:t>providing technical assistance in the area of public health and human rights</w:t>
      </w:r>
      <w:r w:rsidRPr="00600A63">
        <w:rPr>
          <w:rFonts w:asciiTheme="majorHAnsi" w:hAnsiTheme="majorHAnsi"/>
          <w:lang w:val="en-US"/>
        </w:rPr>
        <w:t>;</w:t>
      </w:r>
    </w:p>
    <w:p w14:paraId="7C5405F0" w14:textId="1D42D11C" w:rsidR="00B73BB2" w:rsidRPr="00600A63" w:rsidRDefault="00B73BB2" w:rsidP="00B73BB2">
      <w:pPr>
        <w:pStyle w:val="ListParagraph"/>
        <w:numPr>
          <w:ilvl w:val="0"/>
          <w:numId w:val="23"/>
        </w:numPr>
        <w:jc w:val="both"/>
        <w:rPr>
          <w:rFonts w:asciiTheme="majorHAnsi" w:hAnsiTheme="majorHAnsi"/>
          <w:lang w:val="en-US"/>
        </w:rPr>
      </w:pPr>
      <w:r w:rsidRPr="00600A63">
        <w:rPr>
          <w:rFonts w:asciiTheme="majorHAnsi" w:hAnsiTheme="majorHAnsi"/>
          <w:lang w:val="en-US"/>
        </w:rPr>
        <w:t>Experience of working with international organizations and/or national agencies implementing external</w:t>
      </w:r>
      <w:r w:rsidR="002A498D" w:rsidRPr="00600A63">
        <w:rPr>
          <w:rFonts w:asciiTheme="majorHAnsi" w:hAnsiTheme="majorHAnsi"/>
          <w:lang w:val="en-US"/>
        </w:rPr>
        <w:t>ly funded programs and projects</w:t>
      </w:r>
    </w:p>
    <w:p w14:paraId="3E74B07D" w14:textId="4FA010EF" w:rsidR="00B73BB2" w:rsidRPr="00600A63" w:rsidRDefault="00B73BB2" w:rsidP="00FA3146">
      <w:pPr>
        <w:pStyle w:val="ListParagraph"/>
        <w:ind w:left="1350"/>
        <w:jc w:val="both"/>
        <w:rPr>
          <w:rFonts w:asciiTheme="majorHAnsi" w:hAnsiTheme="majorHAnsi"/>
          <w:lang w:val="en-US"/>
        </w:rPr>
      </w:pPr>
    </w:p>
    <w:p w14:paraId="1DA37F42" w14:textId="5E55A983" w:rsidR="00B73BB2" w:rsidRPr="00600A63" w:rsidRDefault="00B73BB2" w:rsidP="00B73BB2">
      <w:pPr>
        <w:ind w:left="360"/>
        <w:jc w:val="both"/>
        <w:rPr>
          <w:rFonts w:asciiTheme="majorHAnsi" w:hAnsiTheme="majorHAnsi"/>
          <w:lang w:val="en-US"/>
        </w:rPr>
      </w:pPr>
      <w:r w:rsidRPr="00600A63">
        <w:rPr>
          <w:rFonts w:asciiTheme="majorHAnsi" w:hAnsiTheme="majorHAnsi"/>
          <w:lang w:val="en-US"/>
        </w:rPr>
        <w:t xml:space="preserve">2. </w:t>
      </w:r>
      <w:r w:rsidR="00FA3146" w:rsidRPr="00600A63">
        <w:rPr>
          <w:rFonts w:asciiTheme="majorHAnsi" w:hAnsiTheme="majorHAnsi"/>
          <w:lang w:val="en-US"/>
        </w:rPr>
        <w:t>Specific experience (35</w:t>
      </w:r>
      <w:r w:rsidRPr="00600A63">
        <w:rPr>
          <w:rFonts w:asciiTheme="majorHAnsi" w:hAnsiTheme="majorHAnsi"/>
          <w:lang w:val="en-US"/>
        </w:rPr>
        <w:t xml:space="preserve"> points):</w:t>
      </w:r>
    </w:p>
    <w:p w14:paraId="05A0AAE4" w14:textId="2643ADBE" w:rsidR="00885718" w:rsidRPr="00600A63" w:rsidRDefault="00B73BB2" w:rsidP="00B73BB2">
      <w:pPr>
        <w:pStyle w:val="ListParagraph"/>
        <w:numPr>
          <w:ilvl w:val="0"/>
          <w:numId w:val="23"/>
        </w:numPr>
        <w:jc w:val="both"/>
        <w:rPr>
          <w:rFonts w:asciiTheme="majorHAnsi" w:hAnsiTheme="majorHAnsi"/>
          <w:lang w:val="en-US"/>
        </w:rPr>
      </w:pPr>
      <w:r w:rsidRPr="00600A63">
        <w:rPr>
          <w:rFonts w:asciiTheme="majorHAnsi" w:hAnsiTheme="majorHAnsi"/>
          <w:lang w:val="en-US"/>
        </w:rPr>
        <w:t xml:space="preserve">Proven experience in </w:t>
      </w:r>
      <w:r w:rsidR="00885718" w:rsidRPr="00600A63">
        <w:rPr>
          <w:rFonts w:asciiTheme="majorHAnsi" w:hAnsiTheme="majorHAnsi"/>
          <w:lang w:val="en-US"/>
        </w:rPr>
        <w:t xml:space="preserve">undertaking assignments related to CRG issues, particularly within the context of TB </w:t>
      </w:r>
      <w:r w:rsidR="003B0A5B" w:rsidRPr="00600A63">
        <w:rPr>
          <w:rFonts w:asciiTheme="majorHAnsi" w:hAnsiTheme="majorHAnsi"/>
          <w:lang w:val="en-US"/>
        </w:rPr>
        <w:t>and/</w:t>
      </w:r>
      <w:r w:rsidR="00885718" w:rsidRPr="00600A63">
        <w:rPr>
          <w:rFonts w:asciiTheme="majorHAnsi" w:hAnsiTheme="majorHAnsi"/>
          <w:lang w:val="en-US"/>
        </w:rPr>
        <w:t>or HIV</w:t>
      </w:r>
    </w:p>
    <w:p w14:paraId="7EBB1F34" w14:textId="36339B99" w:rsidR="00885718" w:rsidRPr="00600A63" w:rsidRDefault="00885718" w:rsidP="00885718">
      <w:pPr>
        <w:pStyle w:val="ListParagraph"/>
        <w:numPr>
          <w:ilvl w:val="0"/>
          <w:numId w:val="23"/>
        </w:numPr>
        <w:jc w:val="both"/>
        <w:rPr>
          <w:rFonts w:asciiTheme="majorHAnsi" w:hAnsiTheme="majorHAnsi"/>
          <w:lang w:val="en-US"/>
        </w:rPr>
      </w:pPr>
      <w:r w:rsidRPr="00600A63">
        <w:rPr>
          <w:rFonts w:asciiTheme="majorHAnsi" w:hAnsiTheme="majorHAnsi"/>
          <w:lang w:val="en-US"/>
        </w:rPr>
        <w:t>Experience in working with key populations, community groups and community-based organizations</w:t>
      </w:r>
      <w:r w:rsidR="00CE272E" w:rsidRPr="00600A63">
        <w:rPr>
          <w:rFonts w:asciiTheme="majorHAnsi" w:hAnsiTheme="majorHAnsi"/>
          <w:lang w:val="en-US"/>
        </w:rPr>
        <w:t>, preferably in the field of TB response</w:t>
      </w:r>
      <w:r w:rsidRPr="00600A63">
        <w:rPr>
          <w:rFonts w:asciiTheme="majorHAnsi" w:hAnsiTheme="majorHAnsi"/>
          <w:lang w:val="en-US"/>
        </w:rPr>
        <w:t xml:space="preserve"> </w:t>
      </w:r>
    </w:p>
    <w:p w14:paraId="00EF7E32" w14:textId="77A64C14" w:rsidR="00885718" w:rsidRPr="00600A63" w:rsidRDefault="00885718" w:rsidP="00885718">
      <w:pPr>
        <w:pStyle w:val="m7815055345731257750m1211685171208653893m6370522064951927790m5927266933700526822msolistparagraph"/>
        <w:numPr>
          <w:ilvl w:val="0"/>
          <w:numId w:val="23"/>
        </w:numPr>
        <w:shd w:val="clear" w:color="auto" w:fill="FFFFFF"/>
        <w:spacing w:before="0" w:beforeAutospacing="0" w:after="0" w:afterAutospacing="0"/>
        <w:rPr>
          <w:rFonts w:asciiTheme="majorHAnsi" w:eastAsia="Times New Roman" w:hAnsiTheme="majorHAnsi"/>
          <w:lang w:val="en-US" w:eastAsia="en-US"/>
        </w:rPr>
      </w:pPr>
      <w:r w:rsidRPr="00600A63">
        <w:rPr>
          <w:rFonts w:asciiTheme="majorHAnsi" w:eastAsia="Times New Roman" w:hAnsiTheme="majorHAnsi"/>
          <w:lang w:val="en-US" w:eastAsia="en-US"/>
        </w:rPr>
        <w:t xml:space="preserve">Capacity to collaborate with, and where needed build the skills of, </w:t>
      </w:r>
      <w:r w:rsidR="00CE272E" w:rsidRPr="00600A63">
        <w:rPr>
          <w:rFonts w:asciiTheme="majorHAnsi" w:eastAsia="Times New Roman" w:hAnsiTheme="majorHAnsi"/>
          <w:lang w:val="en-US" w:eastAsia="en-US"/>
        </w:rPr>
        <w:t>civil society organizations in</w:t>
      </w:r>
      <w:r w:rsidRPr="00600A63">
        <w:rPr>
          <w:rFonts w:asciiTheme="majorHAnsi" w:eastAsia="Times New Roman" w:hAnsiTheme="majorHAnsi"/>
          <w:lang w:val="en-US" w:eastAsia="en-US"/>
        </w:rPr>
        <w:t xml:space="preserve"> countries in which the assessment will be undertaken</w:t>
      </w:r>
    </w:p>
    <w:p w14:paraId="01CCEC03" w14:textId="5835275C" w:rsidR="00885718" w:rsidRPr="00600A63" w:rsidRDefault="00885718" w:rsidP="00CE272E">
      <w:pPr>
        <w:jc w:val="both"/>
        <w:rPr>
          <w:rFonts w:asciiTheme="majorHAnsi" w:hAnsiTheme="majorHAnsi"/>
          <w:lang w:val="en-US"/>
        </w:rPr>
      </w:pPr>
    </w:p>
    <w:p w14:paraId="765FC5A0" w14:textId="063FCAA1" w:rsidR="00B73BB2" w:rsidRPr="00600A63" w:rsidRDefault="00B73BB2" w:rsidP="00B73BB2">
      <w:pPr>
        <w:pStyle w:val="ListParagraph"/>
        <w:numPr>
          <w:ilvl w:val="0"/>
          <w:numId w:val="16"/>
        </w:numPr>
        <w:ind w:left="360" w:firstLine="0"/>
        <w:jc w:val="both"/>
        <w:rPr>
          <w:rFonts w:asciiTheme="majorHAnsi" w:hAnsiTheme="majorHAnsi"/>
          <w:lang w:val="en-US"/>
        </w:rPr>
      </w:pPr>
      <w:r w:rsidRPr="00600A63">
        <w:rPr>
          <w:rFonts w:asciiTheme="majorHAnsi" w:hAnsiTheme="majorHAnsi"/>
          <w:lang w:val="en-US"/>
        </w:rPr>
        <w:t>Key personnel, profession</w:t>
      </w:r>
      <w:r w:rsidR="00FA3146" w:rsidRPr="00600A63">
        <w:rPr>
          <w:rFonts w:asciiTheme="majorHAnsi" w:hAnsiTheme="majorHAnsi"/>
          <w:lang w:val="en-US"/>
        </w:rPr>
        <w:t>al experience (35</w:t>
      </w:r>
      <w:r w:rsidRPr="00600A63">
        <w:rPr>
          <w:rFonts w:asciiTheme="majorHAnsi" w:hAnsiTheme="majorHAnsi"/>
          <w:lang w:val="en-US"/>
        </w:rPr>
        <w:t xml:space="preserve"> points):</w:t>
      </w:r>
    </w:p>
    <w:p w14:paraId="532D8A6D" w14:textId="109BA6AD" w:rsidR="00B73BB2" w:rsidRPr="00600A63" w:rsidRDefault="00B73BB2" w:rsidP="00B73BB2">
      <w:pPr>
        <w:pStyle w:val="ListParagraph"/>
        <w:numPr>
          <w:ilvl w:val="0"/>
          <w:numId w:val="23"/>
        </w:numPr>
        <w:jc w:val="both"/>
        <w:rPr>
          <w:rFonts w:asciiTheme="majorHAnsi" w:hAnsiTheme="majorHAnsi"/>
          <w:lang w:val="en-US"/>
        </w:rPr>
      </w:pPr>
      <w:r w:rsidRPr="00600A63">
        <w:rPr>
          <w:rFonts w:asciiTheme="majorHAnsi" w:hAnsiTheme="majorHAnsi"/>
          <w:lang w:val="en-US"/>
        </w:rPr>
        <w:t>Qualified staff with general experience</w:t>
      </w:r>
      <w:r w:rsidR="00885718" w:rsidRPr="00600A63">
        <w:rPr>
          <w:rFonts w:asciiTheme="majorHAnsi" w:hAnsiTheme="majorHAnsi"/>
          <w:lang w:val="en-US"/>
        </w:rPr>
        <w:t xml:space="preserve"> in providing technical assistance</w:t>
      </w:r>
    </w:p>
    <w:p w14:paraId="152468D1" w14:textId="6F25BA9B" w:rsidR="00B73BB2" w:rsidRPr="00600A63" w:rsidRDefault="00D7270C" w:rsidP="00B73BB2">
      <w:pPr>
        <w:pStyle w:val="ListParagraph"/>
        <w:numPr>
          <w:ilvl w:val="0"/>
          <w:numId w:val="23"/>
        </w:numPr>
        <w:jc w:val="both"/>
        <w:rPr>
          <w:rFonts w:asciiTheme="majorHAnsi" w:hAnsiTheme="majorHAnsi"/>
          <w:lang w:val="en-US"/>
        </w:rPr>
      </w:pPr>
      <w:r w:rsidRPr="00600A63">
        <w:rPr>
          <w:rFonts w:asciiTheme="majorHAnsi" w:hAnsiTheme="majorHAnsi"/>
          <w:lang w:val="en-US"/>
        </w:rPr>
        <w:t>Minimum 4 key experts</w:t>
      </w:r>
      <w:r w:rsidR="00B73BB2" w:rsidRPr="00600A63">
        <w:rPr>
          <w:rFonts w:asciiTheme="majorHAnsi" w:hAnsiTheme="majorHAnsi"/>
          <w:lang w:val="en-US"/>
        </w:rPr>
        <w:t xml:space="preserve"> to be assigned for the required assignment</w:t>
      </w:r>
      <w:r w:rsidRPr="00600A63">
        <w:rPr>
          <w:rFonts w:asciiTheme="majorHAnsi" w:hAnsiTheme="majorHAnsi"/>
          <w:lang w:val="en-US"/>
        </w:rPr>
        <w:t xml:space="preserve"> in each of the following areas: </w:t>
      </w:r>
      <w:r w:rsidRPr="00600A63">
        <w:rPr>
          <w:rFonts w:ascii="Cambria" w:hAnsi="Cambria"/>
        </w:rPr>
        <w:t>gender, law and human rights, key and priority populations and stigma</w:t>
      </w:r>
      <w:r w:rsidR="00B73BB2" w:rsidRPr="00600A63">
        <w:rPr>
          <w:rFonts w:asciiTheme="majorHAnsi" w:hAnsiTheme="majorHAnsi"/>
          <w:lang w:val="en-US"/>
        </w:rPr>
        <w:t>;</w:t>
      </w:r>
    </w:p>
    <w:p w14:paraId="1574D02F" w14:textId="3F3090AE" w:rsidR="008D3088" w:rsidRPr="00600A63" w:rsidRDefault="008D3088" w:rsidP="008D3088">
      <w:pPr>
        <w:pStyle w:val="m7815055345731257750m1211685171208653893m6370522064951927790m5927266933700526822msolistparagraph"/>
        <w:numPr>
          <w:ilvl w:val="0"/>
          <w:numId w:val="23"/>
        </w:numPr>
        <w:shd w:val="clear" w:color="auto" w:fill="FFFFFF"/>
        <w:spacing w:before="0" w:beforeAutospacing="0" w:after="0" w:afterAutospacing="0"/>
        <w:rPr>
          <w:rFonts w:asciiTheme="majorHAnsi" w:eastAsia="Times New Roman" w:hAnsiTheme="majorHAnsi"/>
          <w:lang w:val="en-US" w:eastAsia="en-US"/>
        </w:rPr>
      </w:pPr>
      <w:r w:rsidRPr="00600A63">
        <w:rPr>
          <w:rFonts w:asciiTheme="majorHAnsi" w:eastAsia="Times New Roman" w:hAnsiTheme="majorHAnsi"/>
          <w:lang w:val="en-US" w:eastAsia="en-US"/>
        </w:rPr>
        <w:t>Strong knowledge of programs to reduce CRG-related barriers to accessing health services within the context of HIV and TB;</w:t>
      </w:r>
    </w:p>
    <w:p w14:paraId="18889B22" w14:textId="3E55F12C" w:rsidR="00885718" w:rsidRPr="00600A63" w:rsidRDefault="00885718" w:rsidP="00885718">
      <w:pPr>
        <w:pStyle w:val="ListParagraph"/>
        <w:numPr>
          <w:ilvl w:val="0"/>
          <w:numId w:val="23"/>
        </w:numPr>
        <w:jc w:val="both"/>
        <w:rPr>
          <w:rFonts w:asciiTheme="majorHAnsi" w:hAnsiTheme="majorHAnsi"/>
          <w:lang w:val="en-US"/>
        </w:rPr>
      </w:pPr>
      <w:r w:rsidRPr="00600A63">
        <w:rPr>
          <w:rFonts w:asciiTheme="majorHAnsi" w:hAnsiTheme="majorHAnsi"/>
          <w:lang w:val="en-US"/>
        </w:rPr>
        <w:t>Capacity of the assigned consultants to conduct consultations with the multi-stakeholder teams;</w:t>
      </w:r>
    </w:p>
    <w:p w14:paraId="17D93BB3" w14:textId="77777777" w:rsidR="00B73BB2" w:rsidRPr="00600A63" w:rsidRDefault="00B73BB2" w:rsidP="00B73BB2">
      <w:pPr>
        <w:pStyle w:val="ListParagraph"/>
        <w:numPr>
          <w:ilvl w:val="0"/>
          <w:numId w:val="23"/>
        </w:numPr>
        <w:jc w:val="both"/>
        <w:rPr>
          <w:rFonts w:asciiTheme="majorHAnsi" w:hAnsiTheme="majorHAnsi"/>
          <w:lang w:val="en-US"/>
        </w:rPr>
      </w:pPr>
      <w:r w:rsidRPr="00600A63">
        <w:rPr>
          <w:rFonts w:asciiTheme="majorHAnsi" w:hAnsiTheme="majorHAnsi"/>
          <w:lang w:val="en-US"/>
        </w:rPr>
        <w:t>Availability of the personnel to conduct the work in the specified region;</w:t>
      </w:r>
    </w:p>
    <w:p w14:paraId="03D4120E" w14:textId="77777777" w:rsidR="00B73BB2" w:rsidRPr="00600A63" w:rsidRDefault="00B73BB2" w:rsidP="00B73BB2">
      <w:pPr>
        <w:pStyle w:val="ListParagraph"/>
        <w:numPr>
          <w:ilvl w:val="0"/>
          <w:numId w:val="23"/>
        </w:numPr>
        <w:jc w:val="both"/>
        <w:rPr>
          <w:rFonts w:asciiTheme="majorHAnsi" w:hAnsiTheme="majorHAnsi"/>
          <w:lang w:val="en-US"/>
        </w:rPr>
      </w:pPr>
      <w:r w:rsidRPr="00600A63">
        <w:rPr>
          <w:rFonts w:asciiTheme="majorHAnsi" w:hAnsiTheme="majorHAnsi"/>
          <w:lang w:val="en-US"/>
        </w:rPr>
        <w:t xml:space="preserve">Excellent spoken and written English skills, decent command of the Russian language is considered an asset </w:t>
      </w:r>
    </w:p>
    <w:p w14:paraId="6636534F" w14:textId="77777777" w:rsidR="00B73BB2" w:rsidRPr="00600A63" w:rsidRDefault="00B73BB2" w:rsidP="009318B7">
      <w:pPr>
        <w:pStyle w:val="Default"/>
        <w:jc w:val="both"/>
        <w:rPr>
          <w:rFonts w:ascii="Cambria" w:hAnsi="Cambria" w:cs="Times New Roman"/>
          <w:color w:val="auto"/>
        </w:rPr>
      </w:pPr>
    </w:p>
    <w:p w14:paraId="66A8B533" w14:textId="77777777" w:rsidR="00391CC4" w:rsidRPr="00600A63" w:rsidRDefault="00391CC4" w:rsidP="0006042B">
      <w:pPr>
        <w:jc w:val="both"/>
        <w:rPr>
          <w:rFonts w:ascii="Cambria" w:hAnsi="Cambria" w:cs="Arial"/>
          <w:lang w:val="en-US"/>
        </w:rPr>
      </w:pPr>
    </w:p>
    <w:p w14:paraId="0008D713" w14:textId="77777777" w:rsidR="005D2E17" w:rsidRPr="00600A63" w:rsidRDefault="00F3570C" w:rsidP="003859BE">
      <w:pPr>
        <w:pStyle w:val="ListParagraph"/>
        <w:numPr>
          <w:ilvl w:val="0"/>
          <w:numId w:val="21"/>
        </w:numPr>
        <w:spacing w:after="240"/>
        <w:jc w:val="both"/>
        <w:rPr>
          <w:rFonts w:asciiTheme="majorHAnsi" w:hAnsiTheme="majorHAnsi"/>
          <w:b/>
          <w:lang w:val="en-US"/>
        </w:rPr>
      </w:pPr>
      <w:r w:rsidRPr="00600A63">
        <w:rPr>
          <w:rFonts w:asciiTheme="majorHAnsi" w:hAnsiTheme="majorHAnsi"/>
          <w:b/>
          <w:lang w:val="en-US"/>
        </w:rPr>
        <w:t xml:space="preserve">Duration of the assignment </w:t>
      </w:r>
    </w:p>
    <w:p w14:paraId="6E2F9997" w14:textId="3A8F4B0F" w:rsidR="00B2448B" w:rsidRPr="00600A63" w:rsidRDefault="000F16A5" w:rsidP="002831ED">
      <w:pPr>
        <w:jc w:val="both"/>
        <w:rPr>
          <w:rFonts w:asciiTheme="majorHAnsi" w:hAnsiTheme="majorHAnsi"/>
          <w:lang w:val="en-US"/>
        </w:rPr>
      </w:pPr>
      <w:r w:rsidRPr="00600A63">
        <w:rPr>
          <w:rFonts w:asciiTheme="majorHAnsi" w:hAnsiTheme="majorHAnsi"/>
          <w:lang w:val="en-US"/>
        </w:rPr>
        <w:t>The</w:t>
      </w:r>
      <w:r w:rsidR="002831ED" w:rsidRPr="00600A63">
        <w:rPr>
          <w:rFonts w:asciiTheme="majorHAnsi" w:hAnsiTheme="majorHAnsi"/>
          <w:lang w:val="en-US"/>
        </w:rPr>
        <w:t xml:space="preserve"> cons</w:t>
      </w:r>
      <w:r w:rsidR="003B57A4" w:rsidRPr="00600A63">
        <w:rPr>
          <w:rFonts w:asciiTheme="majorHAnsi" w:hAnsiTheme="majorHAnsi"/>
          <w:lang w:val="en-US"/>
        </w:rPr>
        <w:t xml:space="preserve">ultancy will take place from </w:t>
      </w:r>
      <w:r w:rsidR="00C73844">
        <w:rPr>
          <w:rFonts w:asciiTheme="majorHAnsi" w:hAnsiTheme="majorHAnsi"/>
          <w:lang w:val="en-US"/>
        </w:rPr>
        <w:t>July</w:t>
      </w:r>
      <w:r w:rsidR="005C0FFD" w:rsidRPr="00600A63">
        <w:rPr>
          <w:rFonts w:asciiTheme="majorHAnsi" w:hAnsiTheme="majorHAnsi"/>
          <w:lang w:val="en-US"/>
        </w:rPr>
        <w:t xml:space="preserve"> 2019 to </w:t>
      </w:r>
      <w:r w:rsidR="00C73844">
        <w:rPr>
          <w:rFonts w:asciiTheme="majorHAnsi" w:hAnsiTheme="majorHAnsi"/>
          <w:lang w:val="en-US"/>
        </w:rPr>
        <w:t>April</w:t>
      </w:r>
      <w:r w:rsidR="005C0FFD" w:rsidRPr="00600A63">
        <w:rPr>
          <w:rFonts w:asciiTheme="majorHAnsi" w:hAnsiTheme="majorHAnsi"/>
          <w:lang w:val="en-US"/>
        </w:rPr>
        <w:t xml:space="preserve"> 2020</w:t>
      </w:r>
      <w:r w:rsidR="002831ED" w:rsidRPr="00600A63">
        <w:rPr>
          <w:rFonts w:asciiTheme="majorHAnsi" w:hAnsiTheme="majorHAnsi"/>
          <w:lang w:val="en-US"/>
        </w:rPr>
        <w:t xml:space="preserve">. </w:t>
      </w:r>
      <w:r w:rsidR="00CF507B" w:rsidRPr="00600A63">
        <w:rPr>
          <w:rFonts w:asciiTheme="majorHAnsi" w:hAnsiTheme="majorHAnsi"/>
          <w:lang w:val="en-US"/>
        </w:rPr>
        <w:t>Regi</w:t>
      </w:r>
      <w:r w:rsidR="003B57A4" w:rsidRPr="00600A63">
        <w:rPr>
          <w:rFonts w:asciiTheme="majorHAnsi" w:hAnsiTheme="majorHAnsi"/>
          <w:lang w:val="en-US"/>
        </w:rPr>
        <w:t>onal workshop is planned for June</w:t>
      </w:r>
      <w:r w:rsidR="00CF507B" w:rsidRPr="00600A63">
        <w:rPr>
          <w:rFonts w:asciiTheme="majorHAnsi" w:hAnsiTheme="majorHAnsi"/>
          <w:lang w:val="en-US"/>
        </w:rPr>
        <w:t xml:space="preserve"> 2019. Period for conducting country visits will be coordinated</w:t>
      </w:r>
      <w:r w:rsidR="003B57A4" w:rsidRPr="00600A63">
        <w:rPr>
          <w:rFonts w:asciiTheme="majorHAnsi" w:hAnsiTheme="majorHAnsi"/>
          <w:lang w:val="en-US"/>
        </w:rPr>
        <w:t xml:space="preserve">. </w:t>
      </w:r>
      <w:r w:rsidR="007566CA" w:rsidRPr="00600A63">
        <w:rPr>
          <w:rFonts w:asciiTheme="majorHAnsi" w:hAnsiTheme="majorHAnsi"/>
          <w:lang w:val="en-US"/>
        </w:rPr>
        <w:t>All assessments will have to be</w:t>
      </w:r>
      <w:r w:rsidR="005C0FFD" w:rsidRPr="00600A63">
        <w:rPr>
          <w:rFonts w:asciiTheme="majorHAnsi" w:hAnsiTheme="majorHAnsi"/>
          <w:lang w:val="en-US"/>
        </w:rPr>
        <w:t xml:space="preserve"> completed by 31 March 2020</w:t>
      </w:r>
      <w:r w:rsidR="003E6696" w:rsidRPr="00600A63">
        <w:rPr>
          <w:rFonts w:asciiTheme="majorHAnsi" w:hAnsiTheme="majorHAnsi"/>
          <w:lang w:val="en-US"/>
        </w:rPr>
        <w:t>.</w:t>
      </w:r>
    </w:p>
    <w:p w14:paraId="11769386" w14:textId="56C28527" w:rsidR="003E6696" w:rsidRPr="00600A63" w:rsidRDefault="003E6696" w:rsidP="002831ED">
      <w:pPr>
        <w:jc w:val="both"/>
        <w:rPr>
          <w:rFonts w:asciiTheme="majorHAnsi" w:hAnsiTheme="majorHAnsi"/>
          <w:lang w:val="en-US"/>
        </w:rPr>
      </w:pPr>
    </w:p>
    <w:p w14:paraId="7F7B12F7" w14:textId="3F1575B3" w:rsidR="003E6696" w:rsidRPr="00600A63" w:rsidRDefault="003E6696" w:rsidP="003E6696">
      <w:pPr>
        <w:ind w:left="360"/>
        <w:rPr>
          <w:rFonts w:ascii="Cambria" w:hAnsi="Cambria" w:cs="Calibri"/>
          <w:b/>
          <w:bCs/>
        </w:rPr>
      </w:pPr>
      <w:r w:rsidRPr="00600A63">
        <w:rPr>
          <w:rFonts w:ascii="Cambria" w:hAnsi="Cambria" w:cs="Calibri"/>
          <w:b/>
          <w:bCs/>
        </w:rPr>
        <w:t>Timeline and workload</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1790"/>
        <w:gridCol w:w="2093"/>
      </w:tblGrid>
      <w:tr w:rsidR="003E6696" w:rsidRPr="00600A63" w14:paraId="08A9CE4E" w14:textId="77777777" w:rsidTr="00F12EA3">
        <w:trPr>
          <w:trHeight w:val="20"/>
        </w:trPr>
        <w:tc>
          <w:tcPr>
            <w:tcW w:w="5387" w:type="dxa"/>
            <w:shd w:val="clear" w:color="auto" w:fill="auto"/>
            <w:noWrap/>
            <w:hideMark/>
          </w:tcPr>
          <w:p w14:paraId="1B25E369" w14:textId="77777777" w:rsidR="003E6696" w:rsidRPr="00600A63" w:rsidRDefault="003E6696" w:rsidP="006D029B">
            <w:pPr>
              <w:rPr>
                <w:rFonts w:ascii="Cambria" w:eastAsia="SimSun" w:hAnsi="Cambria" w:cs="Calibri"/>
                <w:b/>
                <w:bCs/>
                <w:lang w:eastAsia="zh-CN"/>
              </w:rPr>
            </w:pPr>
            <w:r w:rsidRPr="00600A63">
              <w:rPr>
                <w:rFonts w:ascii="Cambria" w:eastAsia="SimSun" w:hAnsi="Cambria" w:cs="Calibri"/>
                <w:b/>
                <w:bCs/>
                <w:lang w:eastAsia="zh-CN"/>
              </w:rPr>
              <w:t>Assignments</w:t>
            </w:r>
          </w:p>
        </w:tc>
        <w:tc>
          <w:tcPr>
            <w:tcW w:w="1790" w:type="dxa"/>
            <w:shd w:val="clear" w:color="auto" w:fill="auto"/>
            <w:noWrap/>
            <w:hideMark/>
          </w:tcPr>
          <w:p w14:paraId="1791F5FC" w14:textId="77777777" w:rsidR="003E6696" w:rsidRPr="00600A63" w:rsidRDefault="003E6696" w:rsidP="006D029B">
            <w:pPr>
              <w:rPr>
                <w:rFonts w:ascii="Cambria" w:eastAsia="SimSun" w:hAnsi="Cambria" w:cs="Calibri"/>
                <w:bCs/>
                <w:lang w:eastAsia="zh-CN"/>
              </w:rPr>
            </w:pPr>
            <w:r w:rsidRPr="00600A63">
              <w:rPr>
                <w:rFonts w:ascii="Cambria" w:eastAsia="SimSun" w:hAnsi="Cambria" w:cs="Calibri"/>
                <w:bCs/>
                <w:lang w:eastAsia="zh-CN"/>
              </w:rPr>
              <w:t> </w:t>
            </w:r>
          </w:p>
        </w:tc>
        <w:tc>
          <w:tcPr>
            <w:tcW w:w="2093" w:type="dxa"/>
            <w:shd w:val="clear" w:color="auto" w:fill="auto"/>
            <w:noWrap/>
            <w:hideMark/>
          </w:tcPr>
          <w:p w14:paraId="559678EC" w14:textId="77777777" w:rsidR="003E6696" w:rsidRPr="00600A63" w:rsidRDefault="003E6696" w:rsidP="006D029B">
            <w:pPr>
              <w:rPr>
                <w:rFonts w:ascii="Cambria" w:eastAsia="SimSun" w:hAnsi="Cambria" w:cs="Calibri"/>
                <w:bCs/>
                <w:lang w:eastAsia="zh-CN"/>
              </w:rPr>
            </w:pPr>
            <w:r w:rsidRPr="00600A63">
              <w:rPr>
                <w:rFonts w:ascii="Cambria" w:eastAsia="SimSun" w:hAnsi="Cambria" w:cs="Calibri"/>
                <w:bCs/>
                <w:lang w:eastAsia="zh-CN"/>
              </w:rPr>
              <w:t> </w:t>
            </w:r>
            <w:r w:rsidRPr="00600A63">
              <w:rPr>
                <w:rFonts w:ascii="Cambria" w:eastAsia="SimSun" w:hAnsi="Cambria" w:cs="Calibri"/>
                <w:b/>
                <w:bCs/>
                <w:i/>
                <w:lang w:eastAsia="zh-CN"/>
              </w:rPr>
              <w:t>TOTAL (days</w:t>
            </w:r>
            <w:r w:rsidRPr="00600A63">
              <w:rPr>
                <w:rFonts w:ascii="Cambria" w:eastAsia="SimSun" w:hAnsi="Cambria" w:cs="Calibri"/>
                <w:bCs/>
                <w:lang w:eastAsia="zh-CN"/>
              </w:rPr>
              <w:t>)</w:t>
            </w:r>
          </w:p>
        </w:tc>
      </w:tr>
      <w:tr w:rsidR="003E6696" w:rsidRPr="00600A63" w14:paraId="0AD73CE3" w14:textId="77777777" w:rsidTr="00F12EA3">
        <w:trPr>
          <w:trHeight w:val="20"/>
        </w:trPr>
        <w:tc>
          <w:tcPr>
            <w:tcW w:w="5387" w:type="dxa"/>
            <w:shd w:val="clear" w:color="auto" w:fill="auto"/>
          </w:tcPr>
          <w:p w14:paraId="312382A2" w14:textId="239A1173" w:rsidR="003E6696" w:rsidRPr="00600A63" w:rsidRDefault="003A4A74" w:rsidP="006D029B">
            <w:pPr>
              <w:jc w:val="both"/>
              <w:rPr>
                <w:rFonts w:ascii="Cambria" w:eastAsia="SimSun" w:hAnsi="Cambria" w:cs="Calibri"/>
                <w:bCs/>
                <w:lang w:eastAsia="zh-CN"/>
              </w:rPr>
            </w:pPr>
            <w:r w:rsidRPr="00600A63">
              <w:rPr>
                <w:rFonts w:ascii="Cambria" w:eastAsia="SimSun" w:hAnsi="Cambria" w:cs="Calibri"/>
                <w:bCs/>
                <w:lang w:eastAsia="zh-CN"/>
              </w:rPr>
              <w:t xml:space="preserve">Preparing and conducting </w:t>
            </w:r>
            <w:r w:rsidR="003B57A4" w:rsidRPr="00600A63">
              <w:rPr>
                <w:rFonts w:ascii="Cambria" w:eastAsia="SimSun" w:hAnsi="Cambria" w:cs="Calibri"/>
                <w:bCs/>
                <w:lang w:eastAsia="zh-CN"/>
              </w:rPr>
              <w:t xml:space="preserve">2-day </w:t>
            </w:r>
            <w:r w:rsidRPr="00600A63">
              <w:rPr>
                <w:rFonts w:ascii="Cambria" w:eastAsia="SimSun" w:hAnsi="Cambria" w:cs="Calibri"/>
                <w:bCs/>
                <w:lang w:eastAsia="zh-CN"/>
              </w:rPr>
              <w:t xml:space="preserve">regional workshop </w:t>
            </w:r>
          </w:p>
        </w:tc>
        <w:tc>
          <w:tcPr>
            <w:tcW w:w="1790" w:type="dxa"/>
            <w:shd w:val="clear" w:color="auto" w:fill="auto"/>
            <w:noWrap/>
          </w:tcPr>
          <w:p w14:paraId="3A5744BD" w14:textId="4E5E7F1A" w:rsidR="003E6696" w:rsidRPr="00600A63" w:rsidRDefault="00C73844" w:rsidP="00FA23A0">
            <w:pPr>
              <w:jc w:val="center"/>
              <w:rPr>
                <w:rFonts w:ascii="Cambria" w:eastAsia="SimSun" w:hAnsi="Cambria" w:cs="Calibri"/>
                <w:bCs/>
                <w:lang w:eastAsia="zh-CN"/>
              </w:rPr>
            </w:pPr>
            <w:r>
              <w:rPr>
                <w:rFonts w:ascii="Cambria" w:eastAsia="SimSun" w:hAnsi="Cambria" w:cs="Calibri"/>
                <w:bCs/>
                <w:lang w:eastAsia="zh-CN"/>
              </w:rPr>
              <w:t>July</w:t>
            </w:r>
          </w:p>
        </w:tc>
        <w:tc>
          <w:tcPr>
            <w:tcW w:w="2093" w:type="dxa"/>
            <w:shd w:val="clear" w:color="auto" w:fill="auto"/>
            <w:noWrap/>
          </w:tcPr>
          <w:p w14:paraId="40F4CFDE" w14:textId="18B5A52E" w:rsidR="003E6696" w:rsidRPr="00600A63" w:rsidRDefault="00D3015F" w:rsidP="00FA23A0">
            <w:pPr>
              <w:jc w:val="center"/>
              <w:rPr>
                <w:rFonts w:ascii="Cambria" w:eastAsia="SimSun" w:hAnsi="Cambria" w:cs="Calibri"/>
                <w:b/>
                <w:bCs/>
                <w:lang w:eastAsia="zh-CN"/>
              </w:rPr>
            </w:pPr>
            <w:r w:rsidRPr="00600A63">
              <w:rPr>
                <w:rFonts w:ascii="Cambria" w:eastAsia="SimSun" w:hAnsi="Cambria" w:cs="Calibri"/>
                <w:b/>
                <w:bCs/>
                <w:lang w:eastAsia="zh-CN"/>
              </w:rPr>
              <w:t>8</w:t>
            </w:r>
          </w:p>
        </w:tc>
      </w:tr>
      <w:tr w:rsidR="0075296E" w:rsidRPr="00600A63" w14:paraId="6EC17B24" w14:textId="77777777" w:rsidTr="00F12EA3">
        <w:trPr>
          <w:trHeight w:val="20"/>
        </w:trPr>
        <w:tc>
          <w:tcPr>
            <w:tcW w:w="5387" w:type="dxa"/>
            <w:shd w:val="clear" w:color="auto" w:fill="auto"/>
          </w:tcPr>
          <w:p w14:paraId="15653050" w14:textId="194DC002" w:rsidR="0075296E" w:rsidRPr="00600A63" w:rsidRDefault="0075296E" w:rsidP="006D029B">
            <w:pPr>
              <w:jc w:val="both"/>
              <w:rPr>
                <w:rFonts w:ascii="Cambria" w:eastAsia="SimSun" w:hAnsi="Cambria" w:cs="Calibri"/>
                <w:bCs/>
                <w:lang w:eastAsia="zh-CN"/>
              </w:rPr>
            </w:pPr>
            <w:r w:rsidRPr="00600A63">
              <w:rPr>
                <w:rFonts w:ascii="Cambria" w:eastAsia="SimSun" w:hAnsi="Cambria" w:cs="Calibri"/>
                <w:bCs/>
                <w:lang w:eastAsia="zh-CN"/>
              </w:rPr>
              <w:t>Desk review</w:t>
            </w:r>
          </w:p>
        </w:tc>
        <w:tc>
          <w:tcPr>
            <w:tcW w:w="1790" w:type="dxa"/>
            <w:shd w:val="clear" w:color="auto" w:fill="auto"/>
            <w:noWrap/>
          </w:tcPr>
          <w:p w14:paraId="65FB3943" w14:textId="183BFD5C" w:rsidR="0075296E" w:rsidRPr="00600A63" w:rsidRDefault="0075296E" w:rsidP="00FA23A0">
            <w:pPr>
              <w:jc w:val="center"/>
              <w:rPr>
                <w:rFonts w:ascii="Cambria" w:eastAsia="SimSun" w:hAnsi="Cambria" w:cs="Calibri"/>
                <w:bCs/>
                <w:lang w:eastAsia="zh-CN"/>
              </w:rPr>
            </w:pPr>
            <w:r w:rsidRPr="00600A63">
              <w:rPr>
                <w:rFonts w:ascii="Cambria" w:eastAsia="SimSun" w:hAnsi="Cambria" w:cs="Calibri"/>
                <w:bCs/>
                <w:lang w:eastAsia="zh-CN"/>
              </w:rPr>
              <w:t>July</w:t>
            </w:r>
            <w:r w:rsidR="00C73844">
              <w:rPr>
                <w:rFonts w:ascii="Cambria" w:eastAsia="SimSun" w:hAnsi="Cambria" w:cs="Calibri"/>
                <w:bCs/>
                <w:lang w:eastAsia="zh-CN"/>
              </w:rPr>
              <w:t>-August</w:t>
            </w:r>
          </w:p>
        </w:tc>
        <w:tc>
          <w:tcPr>
            <w:tcW w:w="2093" w:type="dxa"/>
            <w:shd w:val="clear" w:color="auto" w:fill="auto"/>
            <w:noWrap/>
          </w:tcPr>
          <w:p w14:paraId="63260AB7" w14:textId="4575EE9D" w:rsidR="0075296E" w:rsidRPr="00600A63" w:rsidRDefault="0075296E" w:rsidP="00FA23A0">
            <w:pPr>
              <w:jc w:val="center"/>
              <w:rPr>
                <w:rFonts w:ascii="Cambria" w:eastAsia="SimSun" w:hAnsi="Cambria" w:cs="Calibri"/>
                <w:b/>
                <w:bCs/>
                <w:lang w:eastAsia="zh-CN"/>
              </w:rPr>
            </w:pPr>
            <w:r w:rsidRPr="00600A63">
              <w:rPr>
                <w:rFonts w:ascii="Cambria" w:eastAsia="SimSun" w:hAnsi="Cambria" w:cs="Calibri"/>
                <w:b/>
                <w:bCs/>
                <w:lang w:eastAsia="zh-CN"/>
              </w:rPr>
              <w:t>9</w:t>
            </w:r>
          </w:p>
          <w:p w14:paraId="71D0B520" w14:textId="45FC5CBB" w:rsidR="0075296E" w:rsidRPr="00600A63" w:rsidRDefault="00D3015F" w:rsidP="00FA23A0">
            <w:pPr>
              <w:jc w:val="center"/>
              <w:rPr>
                <w:rFonts w:ascii="Cambria" w:eastAsia="SimSun" w:hAnsi="Cambria" w:cs="Calibri"/>
                <w:b/>
                <w:bCs/>
                <w:lang w:eastAsia="zh-CN"/>
              </w:rPr>
            </w:pPr>
            <w:r w:rsidRPr="00600A63">
              <w:rPr>
                <w:rFonts w:ascii="Cambria" w:eastAsia="SimSun" w:hAnsi="Cambria" w:cs="Calibri"/>
                <w:b/>
                <w:bCs/>
                <w:lang w:eastAsia="zh-CN"/>
              </w:rPr>
              <w:t>(</w:t>
            </w:r>
            <w:r w:rsidR="0075296E" w:rsidRPr="00600A63">
              <w:rPr>
                <w:rFonts w:ascii="Cambria" w:eastAsia="SimSun" w:hAnsi="Cambria" w:cs="Calibri"/>
                <w:b/>
                <w:bCs/>
                <w:lang w:eastAsia="zh-CN"/>
              </w:rPr>
              <w:t>3*3 countries</w:t>
            </w:r>
            <w:r w:rsidRPr="00600A63">
              <w:rPr>
                <w:rFonts w:ascii="Cambria" w:eastAsia="SimSun" w:hAnsi="Cambria" w:cs="Calibri"/>
                <w:b/>
                <w:bCs/>
                <w:lang w:eastAsia="zh-CN"/>
              </w:rPr>
              <w:t>)</w:t>
            </w:r>
          </w:p>
        </w:tc>
      </w:tr>
      <w:tr w:rsidR="003E6696" w:rsidRPr="00600A63" w14:paraId="23458605" w14:textId="77777777" w:rsidTr="00F12EA3">
        <w:trPr>
          <w:trHeight w:val="20"/>
        </w:trPr>
        <w:tc>
          <w:tcPr>
            <w:tcW w:w="5387" w:type="dxa"/>
            <w:shd w:val="clear" w:color="auto" w:fill="auto"/>
          </w:tcPr>
          <w:p w14:paraId="7E477DA5" w14:textId="2F743F07" w:rsidR="003E6696" w:rsidRPr="00600A63" w:rsidRDefault="00FA23A0" w:rsidP="006D029B">
            <w:pPr>
              <w:jc w:val="both"/>
              <w:rPr>
                <w:rFonts w:ascii="Cambria" w:eastAsia="SimSun" w:hAnsi="Cambria" w:cs="Calibri"/>
                <w:bCs/>
                <w:lang w:eastAsia="zh-CN"/>
              </w:rPr>
            </w:pPr>
            <w:r w:rsidRPr="00600A63">
              <w:rPr>
                <w:rFonts w:ascii="Cambria" w:hAnsi="Cambria"/>
              </w:rPr>
              <w:t>Adjusting</w:t>
            </w:r>
            <w:r w:rsidR="003B57A4" w:rsidRPr="00600A63">
              <w:rPr>
                <w:rFonts w:ascii="Cambria" w:hAnsi="Cambria"/>
              </w:rPr>
              <w:t xml:space="preserve"> the existing CRG </w:t>
            </w:r>
            <w:r w:rsidRPr="00600A63">
              <w:rPr>
                <w:rFonts w:ascii="Cambria" w:hAnsi="Cambria"/>
              </w:rPr>
              <w:t>assessment tool</w:t>
            </w:r>
            <w:r w:rsidR="003B57A4" w:rsidRPr="00600A63">
              <w:rPr>
                <w:rFonts w:ascii="Cambria" w:hAnsi="Cambria"/>
              </w:rPr>
              <w:t>s for each participating country</w:t>
            </w:r>
          </w:p>
        </w:tc>
        <w:tc>
          <w:tcPr>
            <w:tcW w:w="1790" w:type="dxa"/>
            <w:shd w:val="clear" w:color="auto" w:fill="auto"/>
            <w:noWrap/>
          </w:tcPr>
          <w:p w14:paraId="17AC1117" w14:textId="79E07857" w:rsidR="003E6696" w:rsidRPr="00600A63" w:rsidRDefault="00C73844" w:rsidP="00FA23A0">
            <w:pPr>
              <w:jc w:val="center"/>
              <w:rPr>
                <w:rFonts w:ascii="Cambria" w:eastAsia="SimSun" w:hAnsi="Cambria" w:cs="Calibri"/>
                <w:bCs/>
                <w:lang w:eastAsia="zh-CN"/>
              </w:rPr>
            </w:pPr>
            <w:r w:rsidRPr="00600A63">
              <w:rPr>
                <w:rFonts w:ascii="Cambria" w:eastAsia="SimSun" w:hAnsi="Cambria" w:cs="Calibri"/>
                <w:bCs/>
                <w:lang w:eastAsia="zh-CN"/>
              </w:rPr>
              <w:t>July</w:t>
            </w:r>
            <w:r>
              <w:rPr>
                <w:rFonts w:ascii="Cambria" w:eastAsia="SimSun" w:hAnsi="Cambria" w:cs="Calibri"/>
                <w:bCs/>
                <w:lang w:eastAsia="zh-CN"/>
              </w:rPr>
              <w:t>-August</w:t>
            </w:r>
          </w:p>
        </w:tc>
        <w:tc>
          <w:tcPr>
            <w:tcW w:w="2093" w:type="dxa"/>
            <w:shd w:val="clear" w:color="auto" w:fill="auto"/>
            <w:noWrap/>
          </w:tcPr>
          <w:p w14:paraId="475AA48D" w14:textId="727CC980" w:rsidR="00FA23A0" w:rsidRPr="00600A63" w:rsidRDefault="00D3015F" w:rsidP="00FA23A0">
            <w:pPr>
              <w:jc w:val="center"/>
              <w:rPr>
                <w:rFonts w:ascii="Cambria" w:eastAsia="SimSun" w:hAnsi="Cambria" w:cs="Calibri"/>
                <w:b/>
                <w:bCs/>
                <w:lang w:eastAsia="zh-CN"/>
              </w:rPr>
            </w:pPr>
            <w:r w:rsidRPr="00600A63">
              <w:rPr>
                <w:rFonts w:ascii="Cambria" w:eastAsia="SimSun" w:hAnsi="Cambria" w:cs="Calibri"/>
                <w:b/>
                <w:bCs/>
                <w:lang w:eastAsia="zh-CN"/>
              </w:rPr>
              <w:t>9</w:t>
            </w:r>
            <w:r w:rsidR="00FA23A0" w:rsidRPr="00600A63">
              <w:rPr>
                <w:rFonts w:ascii="Cambria" w:eastAsia="SimSun" w:hAnsi="Cambria" w:cs="Calibri"/>
                <w:b/>
                <w:bCs/>
                <w:lang w:eastAsia="zh-CN"/>
              </w:rPr>
              <w:t xml:space="preserve"> </w:t>
            </w:r>
          </w:p>
          <w:p w14:paraId="3F18536E" w14:textId="587F40CE" w:rsidR="003E6696" w:rsidRPr="00600A63" w:rsidRDefault="00D3015F" w:rsidP="00FA23A0">
            <w:pPr>
              <w:jc w:val="center"/>
              <w:rPr>
                <w:rFonts w:ascii="Cambria" w:eastAsia="SimSun" w:hAnsi="Cambria" w:cs="Calibri"/>
                <w:b/>
                <w:bCs/>
                <w:lang w:eastAsia="zh-CN"/>
              </w:rPr>
            </w:pPr>
            <w:r w:rsidRPr="00600A63">
              <w:rPr>
                <w:rFonts w:ascii="Cambria" w:eastAsia="SimSun" w:hAnsi="Cambria" w:cs="Calibri"/>
                <w:b/>
                <w:bCs/>
                <w:lang w:eastAsia="zh-CN"/>
              </w:rPr>
              <w:t>(3*3</w:t>
            </w:r>
            <w:r w:rsidR="00FA23A0" w:rsidRPr="00600A63">
              <w:rPr>
                <w:rFonts w:ascii="Cambria" w:eastAsia="SimSun" w:hAnsi="Cambria" w:cs="Calibri"/>
                <w:b/>
                <w:bCs/>
                <w:lang w:eastAsia="zh-CN"/>
              </w:rPr>
              <w:t xml:space="preserve"> countries)</w:t>
            </w:r>
          </w:p>
        </w:tc>
      </w:tr>
      <w:tr w:rsidR="003B57A4" w:rsidRPr="00600A63" w14:paraId="519763BE" w14:textId="77777777" w:rsidTr="00F12EA3">
        <w:trPr>
          <w:trHeight w:val="20"/>
        </w:trPr>
        <w:tc>
          <w:tcPr>
            <w:tcW w:w="5387" w:type="dxa"/>
            <w:shd w:val="clear" w:color="auto" w:fill="auto"/>
          </w:tcPr>
          <w:p w14:paraId="12E9F7CA" w14:textId="078C4F72" w:rsidR="003B57A4" w:rsidRPr="00600A63" w:rsidRDefault="00D3015F" w:rsidP="006D029B">
            <w:pPr>
              <w:jc w:val="both"/>
              <w:rPr>
                <w:rFonts w:ascii="Cambria" w:hAnsi="Cambria"/>
              </w:rPr>
            </w:pPr>
            <w:r w:rsidRPr="00600A63">
              <w:rPr>
                <w:rFonts w:ascii="Cambria" w:hAnsi="Cambria"/>
              </w:rPr>
              <w:t xml:space="preserve">Data analysis </w:t>
            </w:r>
          </w:p>
        </w:tc>
        <w:tc>
          <w:tcPr>
            <w:tcW w:w="1790" w:type="dxa"/>
            <w:shd w:val="clear" w:color="auto" w:fill="auto"/>
            <w:noWrap/>
          </w:tcPr>
          <w:p w14:paraId="34D3C7A4" w14:textId="66BF25EF" w:rsidR="003B57A4" w:rsidRPr="00600A63" w:rsidRDefault="00D3015F" w:rsidP="00C73844">
            <w:pPr>
              <w:rPr>
                <w:rFonts w:ascii="Cambria" w:eastAsia="SimSun" w:hAnsi="Cambria" w:cs="Calibri"/>
                <w:bCs/>
                <w:lang w:eastAsia="zh-CN"/>
              </w:rPr>
            </w:pPr>
            <w:r w:rsidRPr="00600A63">
              <w:rPr>
                <w:rFonts w:ascii="Cambria" w:eastAsia="SimSun" w:hAnsi="Cambria" w:cs="Calibri"/>
                <w:bCs/>
                <w:lang w:eastAsia="zh-CN"/>
              </w:rPr>
              <w:t>November</w:t>
            </w:r>
            <w:r w:rsidR="00C73844">
              <w:rPr>
                <w:rFonts w:ascii="Cambria" w:eastAsia="SimSun" w:hAnsi="Cambria" w:cs="Calibri"/>
                <w:bCs/>
                <w:lang w:eastAsia="zh-CN"/>
              </w:rPr>
              <w:t xml:space="preserve"> - December</w:t>
            </w:r>
          </w:p>
        </w:tc>
        <w:tc>
          <w:tcPr>
            <w:tcW w:w="2093" w:type="dxa"/>
            <w:shd w:val="clear" w:color="auto" w:fill="auto"/>
            <w:noWrap/>
          </w:tcPr>
          <w:p w14:paraId="200C3E9E" w14:textId="6A14EA3B" w:rsidR="003B57A4" w:rsidRPr="00600A63" w:rsidRDefault="008E37C3" w:rsidP="00FA23A0">
            <w:pPr>
              <w:jc w:val="center"/>
              <w:rPr>
                <w:rFonts w:ascii="Cambria" w:eastAsia="SimSun" w:hAnsi="Cambria" w:cs="Calibri"/>
                <w:b/>
                <w:bCs/>
                <w:lang w:eastAsia="zh-CN"/>
              </w:rPr>
            </w:pPr>
            <w:r w:rsidRPr="00600A63">
              <w:rPr>
                <w:rFonts w:ascii="Cambria" w:eastAsia="SimSun" w:hAnsi="Cambria" w:cs="Calibri"/>
                <w:b/>
                <w:bCs/>
                <w:lang w:eastAsia="zh-CN"/>
              </w:rPr>
              <w:t>24</w:t>
            </w:r>
          </w:p>
          <w:p w14:paraId="3B9EAE74" w14:textId="7AE72783" w:rsidR="00D3015F" w:rsidRPr="00600A63" w:rsidRDefault="008E37C3" w:rsidP="00FA23A0">
            <w:pPr>
              <w:jc w:val="center"/>
              <w:rPr>
                <w:rFonts w:ascii="Cambria" w:eastAsia="SimSun" w:hAnsi="Cambria" w:cs="Calibri"/>
                <w:b/>
                <w:bCs/>
                <w:lang w:eastAsia="zh-CN"/>
              </w:rPr>
            </w:pPr>
            <w:r w:rsidRPr="00600A63">
              <w:rPr>
                <w:rFonts w:ascii="Cambria" w:eastAsia="SimSun" w:hAnsi="Cambria" w:cs="Calibri"/>
                <w:b/>
                <w:bCs/>
                <w:lang w:eastAsia="zh-CN"/>
              </w:rPr>
              <w:t>(8</w:t>
            </w:r>
            <w:r w:rsidR="00D3015F" w:rsidRPr="00600A63">
              <w:rPr>
                <w:rFonts w:ascii="Cambria" w:eastAsia="SimSun" w:hAnsi="Cambria" w:cs="Calibri"/>
                <w:b/>
                <w:bCs/>
                <w:lang w:eastAsia="zh-CN"/>
              </w:rPr>
              <w:t>*3 countries)</w:t>
            </w:r>
          </w:p>
        </w:tc>
      </w:tr>
      <w:tr w:rsidR="00FA23A0" w:rsidRPr="00600A63" w14:paraId="0A3F6AE0" w14:textId="77777777" w:rsidTr="00F12EA3">
        <w:trPr>
          <w:trHeight w:val="20"/>
        </w:trPr>
        <w:tc>
          <w:tcPr>
            <w:tcW w:w="5387" w:type="dxa"/>
            <w:shd w:val="clear" w:color="auto" w:fill="auto"/>
          </w:tcPr>
          <w:p w14:paraId="42885247" w14:textId="10CAFEA1" w:rsidR="00FA23A0" w:rsidRPr="00600A63" w:rsidRDefault="003B57A4" w:rsidP="006D029B">
            <w:pPr>
              <w:jc w:val="both"/>
              <w:rPr>
                <w:rFonts w:ascii="Cambria" w:eastAsia="SimSun" w:hAnsi="Cambria" w:cs="Calibri"/>
                <w:bCs/>
                <w:lang w:eastAsia="zh-CN"/>
              </w:rPr>
            </w:pPr>
            <w:r w:rsidRPr="00600A63">
              <w:rPr>
                <w:rFonts w:ascii="Cambria" w:hAnsi="Cambria"/>
              </w:rPr>
              <w:t xml:space="preserve">Participation in the </w:t>
            </w:r>
            <w:r w:rsidR="00FA23A0" w:rsidRPr="00600A63">
              <w:rPr>
                <w:rFonts w:ascii="Cambria" w:hAnsi="Cambria"/>
              </w:rPr>
              <w:t>national</w:t>
            </w:r>
            <w:r w:rsidRPr="00600A63">
              <w:rPr>
                <w:rFonts w:ascii="Cambria" w:hAnsi="Cambria"/>
              </w:rPr>
              <w:t xml:space="preserve"> stakeholder meeting</w:t>
            </w:r>
            <w:r w:rsidR="00D3015F" w:rsidRPr="00600A63">
              <w:rPr>
                <w:rFonts w:ascii="Cambria" w:hAnsi="Cambria"/>
              </w:rPr>
              <w:t>s</w:t>
            </w:r>
            <w:r w:rsidRPr="00600A63">
              <w:rPr>
                <w:rFonts w:ascii="Cambria" w:hAnsi="Cambria"/>
              </w:rPr>
              <w:t xml:space="preserve"> </w:t>
            </w:r>
            <w:r w:rsidR="00FA23A0" w:rsidRPr="00600A63">
              <w:rPr>
                <w:rFonts w:ascii="Cambria" w:hAnsi="Cambria"/>
              </w:rPr>
              <w:t>and co-facilitation</w:t>
            </w:r>
          </w:p>
        </w:tc>
        <w:tc>
          <w:tcPr>
            <w:tcW w:w="1790" w:type="dxa"/>
            <w:shd w:val="clear" w:color="auto" w:fill="auto"/>
            <w:noWrap/>
          </w:tcPr>
          <w:p w14:paraId="02C94D41" w14:textId="7EDE2DE0" w:rsidR="00FA23A0" w:rsidRPr="00600A63" w:rsidRDefault="00C73844" w:rsidP="00C73844">
            <w:pPr>
              <w:jc w:val="center"/>
              <w:rPr>
                <w:rFonts w:ascii="Cambria" w:eastAsia="SimSun" w:hAnsi="Cambria" w:cs="Calibri"/>
                <w:bCs/>
                <w:lang w:eastAsia="zh-CN"/>
              </w:rPr>
            </w:pPr>
            <w:r>
              <w:rPr>
                <w:rFonts w:ascii="Cambria" w:eastAsia="SimSun" w:hAnsi="Cambria" w:cs="Calibri"/>
                <w:bCs/>
                <w:lang w:eastAsia="zh-CN"/>
              </w:rPr>
              <w:t>October</w:t>
            </w:r>
            <w:r w:rsidR="00F12EA3" w:rsidRPr="00600A63">
              <w:rPr>
                <w:rFonts w:ascii="Cambria" w:eastAsia="SimSun" w:hAnsi="Cambria" w:cs="Calibri"/>
                <w:bCs/>
                <w:lang w:eastAsia="zh-CN"/>
              </w:rPr>
              <w:t xml:space="preserve"> - </w:t>
            </w:r>
            <w:r>
              <w:rPr>
                <w:rFonts w:ascii="Cambria" w:eastAsia="SimSun" w:hAnsi="Cambria" w:cs="Calibri"/>
                <w:bCs/>
                <w:lang w:eastAsia="zh-CN"/>
              </w:rPr>
              <w:t>January</w:t>
            </w:r>
          </w:p>
        </w:tc>
        <w:tc>
          <w:tcPr>
            <w:tcW w:w="2093" w:type="dxa"/>
            <w:shd w:val="clear" w:color="auto" w:fill="auto"/>
            <w:noWrap/>
          </w:tcPr>
          <w:p w14:paraId="5A716923" w14:textId="2E5F69BB" w:rsidR="00FA23A0" w:rsidRPr="00600A63" w:rsidRDefault="008E37C3" w:rsidP="00FA23A0">
            <w:pPr>
              <w:jc w:val="center"/>
              <w:rPr>
                <w:rFonts w:ascii="Cambria" w:eastAsia="SimSun" w:hAnsi="Cambria" w:cs="Calibri"/>
                <w:b/>
                <w:bCs/>
                <w:lang w:eastAsia="zh-CN"/>
              </w:rPr>
            </w:pPr>
            <w:r w:rsidRPr="00600A63">
              <w:rPr>
                <w:rFonts w:ascii="Cambria" w:eastAsia="SimSun" w:hAnsi="Cambria" w:cs="Calibri"/>
                <w:b/>
                <w:bCs/>
                <w:lang w:eastAsia="zh-CN"/>
              </w:rPr>
              <w:t>12</w:t>
            </w:r>
          </w:p>
          <w:p w14:paraId="7FA579D2" w14:textId="5C8BAFFF" w:rsidR="00FA23A0" w:rsidRPr="00600A63" w:rsidRDefault="008E37C3" w:rsidP="00FA23A0">
            <w:pPr>
              <w:jc w:val="center"/>
              <w:rPr>
                <w:rFonts w:ascii="Cambria" w:eastAsia="SimSun" w:hAnsi="Cambria" w:cs="Calibri"/>
                <w:b/>
                <w:bCs/>
                <w:lang w:eastAsia="zh-CN"/>
              </w:rPr>
            </w:pPr>
            <w:r w:rsidRPr="00600A63">
              <w:rPr>
                <w:rFonts w:ascii="Cambria" w:eastAsia="SimSun" w:hAnsi="Cambria" w:cs="Calibri"/>
                <w:b/>
                <w:bCs/>
                <w:lang w:eastAsia="zh-CN"/>
              </w:rPr>
              <w:t>(4</w:t>
            </w:r>
            <w:r w:rsidR="00D3015F" w:rsidRPr="00600A63">
              <w:rPr>
                <w:rFonts w:ascii="Cambria" w:eastAsia="SimSun" w:hAnsi="Cambria" w:cs="Calibri"/>
                <w:b/>
                <w:bCs/>
                <w:lang w:eastAsia="zh-CN"/>
              </w:rPr>
              <w:t>*3</w:t>
            </w:r>
            <w:r w:rsidR="00FA23A0" w:rsidRPr="00600A63">
              <w:rPr>
                <w:rFonts w:ascii="Cambria" w:eastAsia="SimSun" w:hAnsi="Cambria" w:cs="Calibri"/>
                <w:b/>
                <w:bCs/>
                <w:lang w:eastAsia="zh-CN"/>
              </w:rPr>
              <w:t xml:space="preserve"> countries)</w:t>
            </w:r>
          </w:p>
        </w:tc>
      </w:tr>
      <w:tr w:rsidR="00FA23A0" w:rsidRPr="00600A63" w14:paraId="02C09629" w14:textId="77777777" w:rsidTr="00F12EA3">
        <w:trPr>
          <w:trHeight w:val="20"/>
        </w:trPr>
        <w:tc>
          <w:tcPr>
            <w:tcW w:w="5387" w:type="dxa"/>
            <w:shd w:val="clear" w:color="auto" w:fill="auto"/>
          </w:tcPr>
          <w:p w14:paraId="51BD711A" w14:textId="4904732F" w:rsidR="00FA23A0" w:rsidRPr="00600A63" w:rsidRDefault="007426FC" w:rsidP="003B57A4">
            <w:pPr>
              <w:jc w:val="both"/>
              <w:rPr>
                <w:rFonts w:ascii="Cambria" w:eastAsia="SimSun" w:hAnsi="Cambria" w:cs="Calibri"/>
                <w:bCs/>
                <w:lang w:eastAsia="zh-CN"/>
              </w:rPr>
            </w:pPr>
            <w:r w:rsidRPr="00600A63">
              <w:rPr>
                <w:rFonts w:ascii="Cambria" w:hAnsi="Cambria"/>
              </w:rPr>
              <w:t>Contribution</w:t>
            </w:r>
            <w:r w:rsidR="00FA23A0" w:rsidRPr="00600A63">
              <w:rPr>
                <w:rFonts w:ascii="Cambria" w:hAnsi="Cambria"/>
              </w:rPr>
              <w:t xml:space="preserve"> to development of the </w:t>
            </w:r>
            <w:r w:rsidR="003B57A4" w:rsidRPr="00600A63">
              <w:rPr>
                <w:rFonts w:ascii="Cambria" w:hAnsi="Cambria"/>
              </w:rPr>
              <w:t>CRG</w:t>
            </w:r>
            <w:r w:rsidR="00FA23A0" w:rsidRPr="00600A63">
              <w:rPr>
                <w:rFonts w:ascii="Cambria" w:hAnsi="Cambria"/>
              </w:rPr>
              <w:t xml:space="preserve"> assessment report</w:t>
            </w:r>
          </w:p>
        </w:tc>
        <w:tc>
          <w:tcPr>
            <w:tcW w:w="1790" w:type="dxa"/>
            <w:shd w:val="clear" w:color="auto" w:fill="auto"/>
            <w:noWrap/>
          </w:tcPr>
          <w:p w14:paraId="6BA8D293" w14:textId="39B2DAC0" w:rsidR="00FA23A0" w:rsidRPr="00600A63" w:rsidRDefault="00C73844" w:rsidP="00C73844">
            <w:pPr>
              <w:jc w:val="center"/>
              <w:rPr>
                <w:rFonts w:ascii="Cambria" w:eastAsia="SimSun" w:hAnsi="Cambria" w:cs="Calibri"/>
                <w:bCs/>
                <w:lang w:eastAsia="zh-CN"/>
              </w:rPr>
            </w:pPr>
            <w:r>
              <w:rPr>
                <w:rFonts w:ascii="Cambria" w:eastAsia="SimSun" w:hAnsi="Cambria" w:cs="Calibri"/>
                <w:bCs/>
                <w:lang w:eastAsia="zh-CN"/>
              </w:rPr>
              <w:t>December</w:t>
            </w:r>
            <w:r w:rsidR="00F12EA3" w:rsidRPr="00600A63">
              <w:rPr>
                <w:rFonts w:ascii="Cambria" w:eastAsia="SimSun" w:hAnsi="Cambria" w:cs="Calibri"/>
                <w:bCs/>
                <w:lang w:eastAsia="zh-CN"/>
              </w:rPr>
              <w:t xml:space="preserve"> 2019 – </w:t>
            </w:r>
            <w:r>
              <w:rPr>
                <w:rFonts w:ascii="Cambria" w:eastAsia="SimSun" w:hAnsi="Cambria" w:cs="Calibri"/>
                <w:bCs/>
                <w:lang w:eastAsia="zh-CN"/>
              </w:rPr>
              <w:t>February</w:t>
            </w:r>
            <w:r w:rsidR="00F12EA3" w:rsidRPr="00600A63">
              <w:rPr>
                <w:rFonts w:ascii="Cambria" w:eastAsia="SimSun" w:hAnsi="Cambria" w:cs="Calibri"/>
                <w:bCs/>
                <w:lang w:eastAsia="zh-CN"/>
              </w:rPr>
              <w:t xml:space="preserve"> 2020</w:t>
            </w:r>
          </w:p>
        </w:tc>
        <w:tc>
          <w:tcPr>
            <w:tcW w:w="2093" w:type="dxa"/>
            <w:shd w:val="clear" w:color="auto" w:fill="auto"/>
            <w:noWrap/>
          </w:tcPr>
          <w:p w14:paraId="163CA603" w14:textId="68C41A81" w:rsidR="00FA23A0" w:rsidRPr="00600A63" w:rsidRDefault="00AD2371" w:rsidP="00FA23A0">
            <w:pPr>
              <w:jc w:val="center"/>
              <w:rPr>
                <w:rFonts w:ascii="Cambria" w:eastAsia="SimSun" w:hAnsi="Cambria" w:cs="Calibri"/>
                <w:b/>
                <w:bCs/>
                <w:lang w:eastAsia="zh-CN"/>
              </w:rPr>
            </w:pPr>
            <w:r w:rsidRPr="00600A63">
              <w:rPr>
                <w:rFonts w:ascii="Cambria" w:eastAsia="SimSun" w:hAnsi="Cambria" w:cs="Calibri"/>
                <w:b/>
                <w:bCs/>
                <w:lang w:eastAsia="zh-CN"/>
              </w:rPr>
              <w:t>21</w:t>
            </w:r>
          </w:p>
          <w:p w14:paraId="46A35354" w14:textId="5AA97563" w:rsidR="00FA23A0" w:rsidRPr="00600A63" w:rsidRDefault="00AD2371" w:rsidP="00FA23A0">
            <w:pPr>
              <w:jc w:val="center"/>
              <w:rPr>
                <w:rFonts w:ascii="Cambria" w:eastAsia="SimSun" w:hAnsi="Cambria" w:cs="Calibri"/>
                <w:b/>
                <w:bCs/>
                <w:lang w:eastAsia="zh-CN"/>
              </w:rPr>
            </w:pPr>
            <w:r w:rsidRPr="00600A63">
              <w:rPr>
                <w:rFonts w:ascii="Cambria" w:eastAsia="SimSun" w:hAnsi="Cambria" w:cs="Calibri"/>
                <w:b/>
                <w:bCs/>
                <w:lang w:eastAsia="zh-CN"/>
              </w:rPr>
              <w:t>(7</w:t>
            </w:r>
            <w:r w:rsidR="008E37C3" w:rsidRPr="00600A63">
              <w:rPr>
                <w:rFonts w:ascii="Cambria" w:eastAsia="SimSun" w:hAnsi="Cambria" w:cs="Calibri"/>
                <w:b/>
                <w:bCs/>
                <w:lang w:eastAsia="zh-CN"/>
              </w:rPr>
              <w:t>*3</w:t>
            </w:r>
            <w:r w:rsidR="00FA23A0" w:rsidRPr="00600A63">
              <w:rPr>
                <w:rFonts w:ascii="Cambria" w:eastAsia="SimSun" w:hAnsi="Cambria" w:cs="Calibri"/>
                <w:b/>
                <w:bCs/>
                <w:lang w:eastAsia="zh-CN"/>
              </w:rPr>
              <w:t xml:space="preserve"> countries)</w:t>
            </w:r>
          </w:p>
        </w:tc>
      </w:tr>
      <w:tr w:rsidR="005C0FFD" w:rsidRPr="00600A63" w14:paraId="5282425B" w14:textId="77777777" w:rsidTr="00F12EA3">
        <w:trPr>
          <w:trHeight w:val="20"/>
        </w:trPr>
        <w:tc>
          <w:tcPr>
            <w:tcW w:w="5387" w:type="dxa"/>
            <w:shd w:val="clear" w:color="auto" w:fill="auto"/>
          </w:tcPr>
          <w:p w14:paraId="5F1EF458" w14:textId="6A386C41" w:rsidR="005C0FFD" w:rsidRPr="00600A63" w:rsidRDefault="005C0FFD" w:rsidP="003B57A4">
            <w:pPr>
              <w:jc w:val="both"/>
              <w:rPr>
                <w:rFonts w:ascii="Cambria" w:hAnsi="Cambria"/>
              </w:rPr>
            </w:pPr>
            <w:r w:rsidRPr="00600A63">
              <w:rPr>
                <w:rFonts w:ascii="Cambria" w:hAnsi="Cambria"/>
              </w:rPr>
              <w:t>Development of the regional analysis</w:t>
            </w:r>
          </w:p>
        </w:tc>
        <w:tc>
          <w:tcPr>
            <w:tcW w:w="1790" w:type="dxa"/>
            <w:shd w:val="clear" w:color="auto" w:fill="auto"/>
            <w:noWrap/>
          </w:tcPr>
          <w:p w14:paraId="4190CCAE" w14:textId="25F76F2D" w:rsidR="005C0FFD" w:rsidRPr="00600A63" w:rsidRDefault="00C73844" w:rsidP="00C73844">
            <w:pPr>
              <w:jc w:val="center"/>
              <w:rPr>
                <w:rFonts w:ascii="Cambria" w:eastAsia="SimSun" w:hAnsi="Cambria" w:cs="Calibri"/>
                <w:bCs/>
                <w:lang w:eastAsia="zh-CN"/>
              </w:rPr>
            </w:pPr>
            <w:r>
              <w:rPr>
                <w:rFonts w:ascii="Cambria" w:eastAsia="SimSun" w:hAnsi="Cambria" w:cs="Calibri"/>
                <w:bCs/>
                <w:lang w:eastAsia="zh-CN"/>
              </w:rPr>
              <w:t>March</w:t>
            </w:r>
            <w:r w:rsidR="00F12EA3" w:rsidRPr="00600A63">
              <w:rPr>
                <w:rFonts w:ascii="Cambria" w:eastAsia="SimSun" w:hAnsi="Cambria" w:cs="Calibri"/>
                <w:bCs/>
                <w:lang w:eastAsia="zh-CN"/>
              </w:rPr>
              <w:t xml:space="preserve"> - </w:t>
            </w:r>
            <w:r>
              <w:rPr>
                <w:rFonts w:ascii="Cambria" w:eastAsia="SimSun" w:hAnsi="Cambria" w:cs="Calibri"/>
                <w:bCs/>
                <w:lang w:eastAsia="zh-CN"/>
              </w:rPr>
              <w:t>April</w:t>
            </w:r>
            <w:bookmarkStart w:id="0" w:name="_GoBack"/>
            <w:bookmarkEnd w:id="0"/>
          </w:p>
        </w:tc>
        <w:tc>
          <w:tcPr>
            <w:tcW w:w="2093" w:type="dxa"/>
            <w:shd w:val="clear" w:color="auto" w:fill="auto"/>
            <w:noWrap/>
          </w:tcPr>
          <w:p w14:paraId="6B08FA96" w14:textId="06E0B36F" w:rsidR="005C0FFD" w:rsidRPr="00600A63" w:rsidRDefault="00AD2371" w:rsidP="00FA23A0">
            <w:pPr>
              <w:jc w:val="center"/>
              <w:rPr>
                <w:rFonts w:ascii="Cambria" w:eastAsia="SimSun" w:hAnsi="Cambria" w:cs="Calibri"/>
                <w:b/>
                <w:bCs/>
                <w:lang w:eastAsia="zh-CN"/>
              </w:rPr>
            </w:pPr>
            <w:r w:rsidRPr="00600A63">
              <w:rPr>
                <w:rFonts w:ascii="Cambria" w:eastAsia="SimSun" w:hAnsi="Cambria" w:cs="Calibri"/>
                <w:b/>
                <w:bCs/>
                <w:lang w:eastAsia="zh-CN"/>
              </w:rPr>
              <w:t>16</w:t>
            </w:r>
          </w:p>
        </w:tc>
      </w:tr>
      <w:tr w:rsidR="003E6696" w:rsidRPr="00600A63" w14:paraId="48AD2786" w14:textId="77777777" w:rsidTr="00F12EA3">
        <w:trPr>
          <w:trHeight w:val="20"/>
        </w:trPr>
        <w:tc>
          <w:tcPr>
            <w:tcW w:w="5387" w:type="dxa"/>
            <w:shd w:val="clear" w:color="auto" w:fill="auto"/>
            <w:noWrap/>
            <w:hideMark/>
          </w:tcPr>
          <w:p w14:paraId="3D33263D" w14:textId="77777777" w:rsidR="003E6696" w:rsidRPr="00600A63" w:rsidRDefault="003E6696" w:rsidP="006D029B">
            <w:pPr>
              <w:rPr>
                <w:rFonts w:ascii="Cambria" w:eastAsia="SimSun" w:hAnsi="Cambria" w:cs="Calibri"/>
                <w:b/>
                <w:bCs/>
                <w:lang w:eastAsia="zh-CN"/>
              </w:rPr>
            </w:pPr>
            <w:r w:rsidRPr="00600A63">
              <w:rPr>
                <w:rFonts w:ascii="Cambria" w:eastAsia="SimSun" w:hAnsi="Cambria" w:cs="Calibri"/>
                <w:b/>
                <w:bCs/>
                <w:lang w:eastAsia="zh-CN"/>
              </w:rPr>
              <w:t>Sub-total</w:t>
            </w:r>
          </w:p>
        </w:tc>
        <w:tc>
          <w:tcPr>
            <w:tcW w:w="1790" w:type="dxa"/>
            <w:shd w:val="clear" w:color="auto" w:fill="auto"/>
            <w:noWrap/>
          </w:tcPr>
          <w:p w14:paraId="6E4EC361" w14:textId="77777777" w:rsidR="003E6696" w:rsidRPr="00600A63" w:rsidRDefault="003E6696" w:rsidP="00FA23A0">
            <w:pPr>
              <w:jc w:val="center"/>
              <w:rPr>
                <w:rFonts w:ascii="Cambria" w:eastAsia="SimSun" w:hAnsi="Cambria" w:cs="Calibri"/>
                <w:bCs/>
                <w:lang w:eastAsia="zh-CN"/>
              </w:rPr>
            </w:pPr>
          </w:p>
        </w:tc>
        <w:tc>
          <w:tcPr>
            <w:tcW w:w="2093" w:type="dxa"/>
            <w:shd w:val="clear" w:color="auto" w:fill="auto"/>
            <w:noWrap/>
          </w:tcPr>
          <w:p w14:paraId="5EAA5C8B" w14:textId="1960E2F8" w:rsidR="003E6696" w:rsidRPr="00600A63" w:rsidRDefault="00F12EA3" w:rsidP="00FA23A0">
            <w:pPr>
              <w:jc w:val="center"/>
              <w:rPr>
                <w:rFonts w:ascii="Cambria" w:eastAsia="SimSun" w:hAnsi="Cambria" w:cs="Calibri"/>
                <w:b/>
                <w:bCs/>
                <w:lang w:eastAsia="zh-CN"/>
              </w:rPr>
            </w:pPr>
            <w:r w:rsidRPr="00600A63">
              <w:rPr>
                <w:rFonts w:ascii="Cambria" w:eastAsia="SimSun" w:hAnsi="Cambria" w:cs="Calibri"/>
                <w:b/>
                <w:bCs/>
                <w:lang w:eastAsia="zh-CN"/>
              </w:rPr>
              <w:t>10</w:t>
            </w:r>
            <w:r w:rsidR="008E37C3" w:rsidRPr="00600A63">
              <w:rPr>
                <w:rFonts w:ascii="Cambria" w:eastAsia="SimSun" w:hAnsi="Cambria" w:cs="Calibri"/>
                <w:b/>
                <w:bCs/>
                <w:lang w:eastAsia="zh-CN"/>
              </w:rPr>
              <w:t>0</w:t>
            </w:r>
          </w:p>
        </w:tc>
      </w:tr>
    </w:tbl>
    <w:p w14:paraId="059D7330" w14:textId="77777777" w:rsidR="005476C4" w:rsidRPr="00600A63" w:rsidRDefault="005476C4" w:rsidP="007D7B86">
      <w:pPr>
        <w:jc w:val="both"/>
        <w:rPr>
          <w:rFonts w:asciiTheme="majorHAnsi" w:hAnsiTheme="majorHAnsi"/>
          <w:lang w:val="en-US"/>
        </w:rPr>
      </w:pPr>
    </w:p>
    <w:p w14:paraId="75EB3C0E" w14:textId="2EE0E465" w:rsidR="008C594F" w:rsidRPr="00600A63" w:rsidRDefault="008C594F" w:rsidP="006D70CD">
      <w:pPr>
        <w:ind w:left="357"/>
        <w:jc w:val="both"/>
        <w:rPr>
          <w:rFonts w:asciiTheme="majorHAnsi" w:hAnsiTheme="majorHAnsi"/>
          <w:lang w:val="en-US"/>
        </w:rPr>
      </w:pPr>
    </w:p>
    <w:p w14:paraId="0B9486F1" w14:textId="77777777" w:rsidR="005D2E17" w:rsidRPr="00600A63" w:rsidRDefault="00F3570C" w:rsidP="003859BE">
      <w:pPr>
        <w:pStyle w:val="ListParagraph"/>
        <w:numPr>
          <w:ilvl w:val="0"/>
          <w:numId w:val="21"/>
        </w:numPr>
        <w:spacing w:after="240"/>
        <w:jc w:val="both"/>
        <w:rPr>
          <w:rFonts w:asciiTheme="majorHAnsi" w:hAnsiTheme="majorHAnsi"/>
          <w:b/>
          <w:lang w:val="en-US"/>
        </w:rPr>
      </w:pPr>
      <w:r w:rsidRPr="00600A63">
        <w:rPr>
          <w:rFonts w:asciiTheme="majorHAnsi" w:hAnsiTheme="majorHAnsi"/>
          <w:b/>
          <w:lang w:val="en-US"/>
        </w:rPr>
        <w:t>Expected resu</w:t>
      </w:r>
      <w:r w:rsidR="00EE5B4E" w:rsidRPr="00600A63">
        <w:rPr>
          <w:rFonts w:asciiTheme="majorHAnsi" w:hAnsiTheme="majorHAnsi"/>
          <w:b/>
          <w:lang w:val="en-US"/>
        </w:rPr>
        <w:t>l</w:t>
      </w:r>
      <w:r w:rsidRPr="00600A63">
        <w:rPr>
          <w:rFonts w:asciiTheme="majorHAnsi" w:hAnsiTheme="majorHAnsi"/>
          <w:b/>
          <w:lang w:val="en-US"/>
        </w:rPr>
        <w:t xml:space="preserve">ts </w:t>
      </w:r>
    </w:p>
    <w:p w14:paraId="5C098B63" w14:textId="04E10BF2" w:rsidR="00F3570C" w:rsidRPr="00600A63" w:rsidRDefault="00F3570C" w:rsidP="00F3570C">
      <w:pPr>
        <w:shd w:val="clear" w:color="auto" w:fill="FFFFFF"/>
        <w:jc w:val="both"/>
        <w:rPr>
          <w:rFonts w:ascii="Cambria" w:hAnsi="Cambria" w:cs="Arial"/>
          <w:lang w:val="en-US"/>
        </w:rPr>
      </w:pPr>
      <w:r w:rsidRPr="00600A63">
        <w:rPr>
          <w:rFonts w:ascii="Cambria" w:hAnsi="Cambria" w:cs="Arial"/>
          <w:lang w:val="en-US"/>
        </w:rPr>
        <w:t xml:space="preserve">The </w:t>
      </w:r>
      <w:r w:rsidR="00D83792" w:rsidRPr="00600A63">
        <w:rPr>
          <w:rFonts w:ascii="Cambria" w:hAnsi="Cambria" w:cs="Arial"/>
          <w:lang w:val="en-US"/>
        </w:rPr>
        <w:t>consultant</w:t>
      </w:r>
      <w:r w:rsidRPr="00600A63">
        <w:rPr>
          <w:rFonts w:ascii="Cambria" w:hAnsi="Cambria" w:cs="Arial"/>
          <w:lang w:val="en-US"/>
        </w:rPr>
        <w:t xml:space="preserve"> is expected to produce the following </w:t>
      </w:r>
      <w:r w:rsidR="001C2E3E" w:rsidRPr="00600A63">
        <w:rPr>
          <w:rFonts w:ascii="Cambria" w:hAnsi="Cambria" w:cs="Arial"/>
          <w:lang w:val="en-US"/>
        </w:rPr>
        <w:t xml:space="preserve">deliverables: </w:t>
      </w:r>
    </w:p>
    <w:p w14:paraId="080A05B6" w14:textId="46F98715" w:rsidR="00162AB8" w:rsidRPr="00600A63" w:rsidRDefault="00162AB8" w:rsidP="00194B64">
      <w:pPr>
        <w:jc w:val="both"/>
        <w:rPr>
          <w:rFonts w:ascii="Cambria" w:hAnsi="Cambria"/>
          <w:b/>
          <w:lang w:val="en-US"/>
        </w:rPr>
      </w:pPr>
    </w:p>
    <w:p w14:paraId="10FC6A46" w14:textId="2504F5CF" w:rsidR="00F40B09" w:rsidRPr="00600A63" w:rsidRDefault="00F40B09" w:rsidP="00F40B09">
      <w:pPr>
        <w:pStyle w:val="ListParagraph"/>
        <w:numPr>
          <w:ilvl w:val="0"/>
          <w:numId w:val="38"/>
        </w:numPr>
        <w:spacing w:after="160" w:line="259" w:lineRule="auto"/>
        <w:rPr>
          <w:rFonts w:ascii="Cambria" w:hAnsi="Cambria"/>
        </w:rPr>
      </w:pPr>
      <w:r w:rsidRPr="00600A63">
        <w:rPr>
          <w:rFonts w:ascii="Cambria" w:hAnsi="Cambria"/>
        </w:rPr>
        <w:t xml:space="preserve">Agenda and content materials for the regional workshop </w:t>
      </w:r>
      <w:r w:rsidR="007D7B86" w:rsidRPr="00600A63">
        <w:rPr>
          <w:rFonts w:ascii="Cambria" w:hAnsi="Cambria"/>
        </w:rPr>
        <w:t xml:space="preserve">to </w:t>
      </w:r>
      <w:r w:rsidR="00252DDE" w:rsidRPr="00600A63">
        <w:rPr>
          <w:rFonts w:ascii="Cambria" w:hAnsi="Cambria"/>
        </w:rPr>
        <w:t>train country teams</w:t>
      </w:r>
      <w:r w:rsidRPr="00600A63">
        <w:rPr>
          <w:rFonts w:ascii="Cambria" w:hAnsi="Cambria"/>
        </w:rPr>
        <w:t xml:space="preserve"> in conducting CRG assessments;</w:t>
      </w:r>
    </w:p>
    <w:p w14:paraId="3048C307" w14:textId="77396C09" w:rsidR="00F40B09" w:rsidRPr="00600A63" w:rsidRDefault="00F40B09" w:rsidP="00102251">
      <w:pPr>
        <w:pStyle w:val="ListParagraph"/>
        <w:numPr>
          <w:ilvl w:val="0"/>
          <w:numId w:val="38"/>
        </w:numPr>
        <w:spacing w:after="160" w:line="259" w:lineRule="auto"/>
        <w:rPr>
          <w:rFonts w:ascii="Cambria" w:hAnsi="Cambria"/>
        </w:rPr>
      </w:pPr>
      <w:r w:rsidRPr="00600A63">
        <w:rPr>
          <w:rFonts w:ascii="Cambria" w:hAnsi="Cambria"/>
        </w:rPr>
        <w:t>Summary of the desk review results (three countries)</w:t>
      </w:r>
    </w:p>
    <w:p w14:paraId="4BE6BA2A" w14:textId="2108018F" w:rsidR="00B21722" w:rsidRPr="00600A63" w:rsidRDefault="00F40B09" w:rsidP="00F40B09">
      <w:pPr>
        <w:pStyle w:val="ListParagraph"/>
        <w:numPr>
          <w:ilvl w:val="0"/>
          <w:numId w:val="38"/>
        </w:numPr>
        <w:spacing w:after="160" w:line="259" w:lineRule="auto"/>
        <w:rPr>
          <w:rFonts w:ascii="Cambria" w:hAnsi="Cambria"/>
        </w:rPr>
      </w:pPr>
      <w:r w:rsidRPr="00600A63">
        <w:rPr>
          <w:rFonts w:ascii="Cambria" w:hAnsi="Cambria"/>
        </w:rPr>
        <w:t>A</w:t>
      </w:r>
      <w:r w:rsidR="002831ED" w:rsidRPr="00600A63">
        <w:rPr>
          <w:rFonts w:ascii="Cambria" w:hAnsi="Cambria"/>
        </w:rPr>
        <w:t>djusted country-specific tool</w:t>
      </w:r>
      <w:r w:rsidR="00E5152C" w:rsidRPr="00600A63">
        <w:rPr>
          <w:rFonts w:ascii="Cambria" w:hAnsi="Cambria"/>
        </w:rPr>
        <w:t>s to assess</w:t>
      </w:r>
      <w:r w:rsidR="002831ED" w:rsidRPr="00600A63">
        <w:rPr>
          <w:rFonts w:ascii="Cambria" w:hAnsi="Cambria"/>
        </w:rPr>
        <w:t xml:space="preserve"> barriers to TB services</w:t>
      </w:r>
      <w:r w:rsidR="00E5152C" w:rsidRPr="00600A63">
        <w:rPr>
          <w:rFonts w:ascii="Cambria" w:hAnsi="Cambria"/>
        </w:rPr>
        <w:t xml:space="preserve"> related to gender, law and human rights, key and priority populations and stigma </w:t>
      </w:r>
      <w:r w:rsidR="000B265B" w:rsidRPr="00600A63">
        <w:rPr>
          <w:rFonts w:ascii="Cambria" w:hAnsi="Cambria"/>
        </w:rPr>
        <w:t>(three countries)</w:t>
      </w:r>
    </w:p>
    <w:p w14:paraId="584FD899" w14:textId="1794F761" w:rsidR="0075296E" w:rsidRPr="00600A63" w:rsidRDefault="0075296E" w:rsidP="00102251">
      <w:pPr>
        <w:pStyle w:val="ListParagraph"/>
        <w:numPr>
          <w:ilvl w:val="0"/>
          <w:numId w:val="38"/>
        </w:numPr>
        <w:spacing w:after="160" w:line="259" w:lineRule="auto"/>
        <w:rPr>
          <w:rFonts w:ascii="Cambria" w:hAnsi="Cambria"/>
        </w:rPr>
      </w:pPr>
      <w:r w:rsidRPr="00600A63">
        <w:rPr>
          <w:rFonts w:ascii="Cambria" w:hAnsi="Cambria"/>
        </w:rPr>
        <w:t>Results on</w:t>
      </w:r>
      <w:r w:rsidR="003359C5" w:rsidRPr="00600A63">
        <w:rPr>
          <w:rFonts w:ascii="Cambria" w:hAnsi="Cambria"/>
        </w:rPr>
        <w:t xml:space="preserve"> data analysis (three countries)</w:t>
      </w:r>
    </w:p>
    <w:p w14:paraId="6F91B2F0" w14:textId="10C65282" w:rsidR="002831ED" w:rsidRPr="00600A63" w:rsidRDefault="002831ED" w:rsidP="00102251">
      <w:pPr>
        <w:pStyle w:val="ListParagraph"/>
        <w:numPr>
          <w:ilvl w:val="0"/>
          <w:numId w:val="38"/>
        </w:numPr>
        <w:spacing w:after="160" w:line="259" w:lineRule="auto"/>
        <w:rPr>
          <w:rFonts w:ascii="Cambria" w:hAnsi="Cambria"/>
        </w:rPr>
      </w:pPr>
      <w:r w:rsidRPr="00600A63">
        <w:rPr>
          <w:rFonts w:ascii="Cambria" w:hAnsi="Cambria"/>
        </w:rPr>
        <w:t xml:space="preserve">Structure of the </w:t>
      </w:r>
      <w:r w:rsidR="00E5152C" w:rsidRPr="00600A63">
        <w:rPr>
          <w:rFonts w:ascii="Cambria" w:hAnsi="Cambria"/>
        </w:rPr>
        <w:t>CRG</w:t>
      </w:r>
      <w:r w:rsidRPr="00600A63">
        <w:rPr>
          <w:rFonts w:ascii="Cambria" w:hAnsi="Cambria"/>
        </w:rPr>
        <w:t xml:space="preserve"> assessment report</w:t>
      </w:r>
      <w:r w:rsidR="00E5152C" w:rsidRPr="00600A63">
        <w:rPr>
          <w:rFonts w:ascii="Cambria" w:hAnsi="Cambria"/>
        </w:rPr>
        <w:t xml:space="preserve"> recommended to countries;</w:t>
      </w:r>
    </w:p>
    <w:p w14:paraId="5407DB93" w14:textId="4DD8FDFC" w:rsidR="00F3570C" w:rsidRPr="00600A63" w:rsidRDefault="002831ED" w:rsidP="00D66185">
      <w:pPr>
        <w:pStyle w:val="ListParagraph"/>
        <w:numPr>
          <w:ilvl w:val="0"/>
          <w:numId w:val="38"/>
        </w:numPr>
        <w:spacing w:after="160" w:line="259" w:lineRule="auto"/>
        <w:jc w:val="both"/>
        <w:rPr>
          <w:rFonts w:ascii="Cambria" w:hAnsi="Cambria"/>
          <w:lang w:val="en-US"/>
        </w:rPr>
      </w:pPr>
      <w:r w:rsidRPr="00600A63">
        <w:rPr>
          <w:rFonts w:ascii="Cambria" w:hAnsi="Cambria"/>
        </w:rPr>
        <w:t xml:space="preserve">Inputs and contribution to the </w:t>
      </w:r>
      <w:r w:rsidR="00D66185" w:rsidRPr="00600A63">
        <w:rPr>
          <w:rFonts w:ascii="Cambria" w:hAnsi="Cambria"/>
        </w:rPr>
        <w:t xml:space="preserve">country specific </w:t>
      </w:r>
      <w:r w:rsidR="00E5152C" w:rsidRPr="00600A63">
        <w:rPr>
          <w:rFonts w:ascii="Cambria" w:hAnsi="Cambria"/>
        </w:rPr>
        <w:t xml:space="preserve">CRG assessment report </w:t>
      </w:r>
      <w:r w:rsidR="003359C5" w:rsidRPr="00600A63">
        <w:rPr>
          <w:rFonts w:ascii="Cambria" w:hAnsi="Cambria"/>
        </w:rPr>
        <w:t>(three countries)</w:t>
      </w:r>
    </w:p>
    <w:p w14:paraId="0BE15270" w14:textId="69A37788" w:rsidR="00F470A6" w:rsidRPr="00600A63" w:rsidRDefault="00507BBC" w:rsidP="00D84B99">
      <w:pPr>
        <w:pStyle w:val="ListParagraph"/>
        <w:numPr>
          <w:ilvl w:val="0"/>
          <w:numId w:val="38"/>
        </w:numPr>
        <w:spacing w:after="160" w:line="259" w:lineRule="auto"/>
        <w:jc w:val="both"/>
        <w:rPr>
          <w:rFonts w:ascii="Cambria" w:hAnsi="Cambria"/>
          <w:lang w:val="en-US"/>
        </w:rPr>
      </w:pPr>
      <w:r w:rsidRPr="00600A63">
        <w:rPr>
          <w:rFonts w:ascii="Cambria" w:hAnsi="Cambria"/>
          <w:lang w:val="en-US"/>
        </w:rPr>
        <w:t xml:space="preserve">Regional analysis with a comprehensive </w:t>
      </w:r>
      <w:r w:rsidR="005C0FFD" w:rsidRPr="00600A63">
        <w:rPr>
          <w:rFonts w:ascii="Cambria" w:hAnsi="Cambria"/>
          <w:lang w:val="en-US"/>
        </w:rPr>
        <w:t xml:space="preserve">multi-country review of the CRG assessment results  </w:t>
      </w:r>
    </w:p>
    <w:sectPr w:rsidR="00F470A6" w:rsidRPr="00600A63" w:rsidSect="00C728DE">
      <w:headerReference w:type="even" r:id="rId8"/>
      <w:headerReference w:type="default" r:id="rId9"/>
      <w:footerReference w:type="even" r:id="rId10"/>
      <w:footerReference w:type="default" r:id="rId11"/>
      <w:headerReference w:type="first" r:id="rId12"/>
      <w:footerReference w:type="first" r:id="rId13"/>
      <w:pgSz w:w="12240" w:h="15840"/>
      <w:pgMar w:top="1134" w:right="850" w:bottom="1134" w:left="1701"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0AF7C4" w16cid:durableId="2080258C"/>
  <w16cid:commentId w16cid:paraId="5365BF80" w16cid:durableId="20802B42"/>
  <w16cid:commentId w16cid:paraId="724F490D" w16cid:durableId="20802C3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26129" w14:textId="77777777" w:rsidR="000A6632" w:rsidRDefault="000A6632" w:rsidP="00335E65">
      <w:r>
        <w:separator/>
      </w:r>
    </w:p>
  </w:endnote>
  <w:endnote w:type="continuationSeparator" w:id="0">
    <w:p w14:paraId="64E8073C" w14:textId="77777777" w:rsidR="000A6632" w:rsidRDefault="000A6632" w:rsidP="00335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9DBED" w14:textId="77777777" w:rsidR="00834995" w:rsidRDefault="0083499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03820" w14:textId="77777777" w:rsidR="00834995" w:rsidRDefault="0083499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09E23" w14:textId="77777777" w:rsidR="00834995" w:rsidRDefault="008349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70BBC" w14:textId="77777777" w:rsidR="000A6632" w:rsidRDefault="000A6632" w:rsidP="00335E65">
      <w:r>
        <w:separator/>
      </w:r>
    </w:p>
  </w:footnote>
  <w:footnote w:type="continuationSeparator" w:id="0">
    <w:p w14:paraId="321D94B7" w14:textId="77777777" w:rsidR="000A6632" w:rsidRDefault="000A6632" w:rsidP="00335E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F9DD0" w14:textId="77777777" w:rsidR="00834995" w:rsidRDefault="0083499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9A9EA" w14:textId="77777777" w:rsidR="00834995" w:rsidRDefault="0083499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0AE14" w14:textId="77777777" w:rsidR="00834995" w:rsidRDefault="0083499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268291E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B0AE9CE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B6548A"/>
    <w:multiLevelType w:val="hybridMultilevel"/>
    <w:tmpl w:val="E1C874E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A77F07"/>
    <w:multiLevelType w:val="hybridMultilevel"/>
    <w:tmpl w:val="245AD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E0A1F"/>
    <w:multiLevelType w:val="hybridMultilevel"/>
    <w:tmpl w:val="E61C5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702018"/>
    <w:multiLevelType w:val="hybridMultilevel"/>
    <w:tmpl w:val="C1627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F73882"/>
    <w:multiLevelType w:val="multilevel"/>
    <w:tmpl w:val="0CE2B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A350AB"/>
    <w:multiLevelType w:val="hybridMultilevel"/>
    <w:tmpl w:val="C71C144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5175B3"/>
    <w:multiLevelType w:val="hybridMultilevel"/>
    <w:tmpl w:val="61EE3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BDF115C"/>
    <w:multiLevelType w:val="hybridMultilevel"/>
    <w:tmpl w:val="CD90BA40"/>
    <w:lvl w:ilvl="0" w:tplc="A80E9F90">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C763591"/>
    <w:multiLevelType w:val="hybridMultilevel"/>
    <w:tmpl w:val="E8AA5EEE"/>
    <w:lvl w:ilvl="0" w:tplc="F5BE384A">
      <w:numFmt w:val="bullet"/>
      <w:lvlText w:val="-"/>
      <w:lvlJc w:val="left"/>
      <w:pPr>
        <w:ind w:left="720" w:hanging="360"/>
      </w:pPr>
      <w:rPr>
        <w:rFonts w:ascii="Cambria" w:eastAsia="Calibri" w:hAnsi="Cambria"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AD2332"/>
    <w:multiLevelType w:val="hybridMultilevel"/>
    <w:tmpl w:val="B166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FF2ACB"/>
    <w:multiLevelType w:val="hybridMultilevel"/>
    <w:tmpl w:val="F87C4F9E"/>
    <w:lvl w:ilvl="0" w:tplc="67DA6E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544498"/>
    <w:multiLevelType w:val="hybridMultilevel"/>
    <w:tmpl w:val="6EA6304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7B36CFF"/>
    <w:multiLevelType w:val="hybridMultilevel"/>
    <w:tmpl w:val="9D1CD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E631EF"/>
    <w:multiLevelType w:val="hybridMultilevel"/>
    <w:tmpl w:val="E7D0C774"/>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D2670DA"/>
    <w:multiLevelType w:val="hybridMultilevel"/>
    <w:tmpl w:val="4E3CB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280FD0"/>
    <w:multiLevelType w:val="hybridMultilevel"/>
    <w:tmpl w:val="B896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2191B"/>
    <w:multiLevelType w:val="multilevel"/>
    <w:tmpl w:val="178CA82E"/>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6B7715"/>
    <w:multiLevelType w:val="hybridMultilevel"/>
    <w:tmpl w:val="C2AA6F30"/>
    <w:lvl w:ilvl="0" w:tplc="DD1E5C2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AF18DB"/>
    <w:multiLevelType w:val="hybridMultilevel"/>
    <w:tmpl w:val="87507B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FCE2ED2"/>
    <w:multiLevelType w:val="hybridMultilevel"/>
    <w:tmpl w:val="C974F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89377C"/>
    <w:multiLevelType w:val="hybridMultilevel"/>
    <w:tmpl w:val="FE20CE26"/>
    <w:lvl w:ilvl="0" w:tplc="0AD854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BA004A"/>
    <w:multiLevelType w:val="hybridMultilevel"/>
    <w:tmpl w:val="86B0AB16"/>
    <w:lvl w:ilvl="0" w:tplc="123024CC">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BC52F17"/>
    <w:multiLevelType w:val="hybridMultilevel"/>
    <w:tmpl w:val="CBD2CB96"/>
    <w:lvl w:ilvl="0" w:tplc="49686E6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0C468AA"/>
    <w:multiLevelType w:val="hybridMultilevel"/>
    <w:tmpl w:val="F4305FE2"/>
    <w:lvl w:ilvl="0" w:tplc="AD122BD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BD1B7E"/>
    <w:multiLevelType w:val="hybridMultilevel"/>
    <w:tmpl w:val="50B21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ED453E"/>
    <w:multiLevelType w:val="hybridMultilevel"/>
    <w:tmpl w:val="F3B867C8"/>
    <w:lvl w:ilvl="0" w:tplc="72D245AC">
      <w:start w:val="2"/>
      <w:numFmt w:val="bullet"/>
      <w:lvlText w:val="-"/>
      <w:lvlJc w:val="left"/>
      <w:pPr>
        <w:ind w:left="720" w:hanging="360"/>
      </w:pPr>
      <w:rPr>
        <w:rFonts w:ascii="Cambria" w:eastAsia="Times New Roman" w:hAnsi="Cambria"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9783437"/>
    <w:multiLevelType w:val="hybridMultilevel"/>
    <w:tmpl w:val="B776B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0A29CF"/>
    <w:multiLevelType w:val="hybridMultilevel"/>
    <w:tmpl w:val="10C49E78"/>
    <w:lvl w:ilvl="0" w:tplc="8D4065BA">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4FBC255F"/>
    <w:multiLevelType w:val="hybridMultilevel"/>
    <w:tmpl w:val="C2DCE2E4"/>
    <w:lvl w:ilvl="0" w:tplc="32487026">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10739DE"/>
    <w:multiLevelType w:val="hybridMultilevel"/>
    <w:tmpl w:val="7D6E568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5B2575C5"/>
    <w:multiLevelType w:val="hybridMultilevel"/>
    <w:tmpl w:val="CD1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4F11A0"/>
    <w:multiLevelType w:val="hybridMultilevel"/>
    <w:tmpl w:val="CA407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B436A2"/>
    <w:multiLevelType w:val="hybridMultilevel"/>
    <w:tmpl w:val="5FB419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54B3A4A"/>
    <w:multiLevelType w:val="hybridMultilevel"/>
    <w:tmpl w:val="186AE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0D7CA1"/>
    <w:multiLevelType w:val="hybridMultilevel"/>
    <w:tmpl w:val="B560B4A2"/>
    <w:lvl w:ilvl="0" w:tplc="0418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582ABF"/>
    <w:multiLevelType w:val="hybridMultilevel"/>
    <w:tmpl w:val="26FA9E60"/>
    <w:lvl w:ilvl="0" w:tplc="38709344">
      <w:numFmt w:val="bullet"/>
      <w:lvlText w:val="-"/>
      <w:lvlJc w:val="left"/>
      <w:pPr>
        <w:tabs>
          <w:tab w:val="num" w:pos="1440"/>
        </w:tabs>
        <w:ind w:left="1440" w:hanging="360"/>
      </w:pPr>
      <w:rPr>
        <w:rFonts w:ascii="Courier New" w:eastAsia="Times New Roman"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5B7CAF"/>
    <w:multiLevelType w:val="hybridMultilevel"/>
    <w:tmpl w:val="3788D3F0"/>
    <w:lvl w:ilvl="0" w:tplc="CD8C01B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9" w15:restartNumberingAfterBreak="0">
    <w:nsid w:val="6E6154BE"/>
    <w:multiLevelType w:val="hybridMultilevel"/>
    <w:tmpl w:val="32540F1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FD12BE"/>
    <w:multiLevelType w:val="hybridMultilevel"/>
    <w:tmpl w:val="433EF486"/>
    <w:lvl w:ilvl="0" w:tplc="3D94B3E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7F2977"/>
    <w:multiLevelType w:val="hybridMultilevel"/>
    <w:tmpl w:val="00BEC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5870AD1"/>
    <w:multiLevelType w:val="hybridMultilevel"/>
    <w:tmpl w:val="331C4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F30CC6"/>
    <w:multiLevelType w:val="hybridMultilevel"/>
    <w:tmpl w:val="EE5601F2"/>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315CD4"/>
    <w:multiLevelType w:val="hybridMultilevel"/>
    <w:tmpl w:val="10644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5A0391"/>
    <w:multiLevelType w:val="hybridMultilevel"/>
    <w:tmpl w:val="DD385718"/>
    <w:lvl w:ilvl="0" w:tplc="9CF04470">
      <w:start w:val="2"/>
      <w:numFmt w:val="bullet"/>
      <w:lvlText w:val="-"/>
      <w:lvlJc w:val="left"/>
      <w:pPr>
        <w:ind w:left="720" w:hanging="360"/>
      </w:pPr>
      <w:rPr>
        <w:rFonts w:ascii="Cambria" w:eastAsia="Times New Roman" w:hAnsi="Cambria"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3"/>
  </w:num>
  <w:num w:numId="4">
    <w:abstractNumId w:val="37"/>
  </w:num>
  <w:num w:numId="5">
    <w:abstractNumId w:val="18"/>
  </w:num>
  <w:num w:numId="6">
    <w:abstractNumId w:val="29"/>
  </w:num>
  <w:num w:numId="7">
    <w:abstractNumId w:val="30"/>
  </w:num>
  <w:num w:numId="8">
    <w:abstractNumId w:val="9"/>
  </w:num>
  <w:num w:numId="9">
    <w:abstractNumId w:val="15"/>
  </w:num>
  <w:num w:numId="10">
    <w:abstractNumId w:val="13"/>
  </w:num>
  <w:num w:numId="11">
    <w:abstractNumId w:val="7"/>
  </w:num>
  <w:num w:numId="12">
    <w:abstractNumId w:val="12"/>
  </w:num>
  <w:num w:numId="13">
    <w:abstractNumId w:val="19"/>
  </w:num>
  <w:num w:numId="14">
    <w:abstractNumId w:val="36"/>
  </w:num>
  <w:num w:numId="15">
    <w:abstractNumId w:val="39"/>
  </w:num>
  <w:num w:numId="16">
    <w:abstractNumId w:val="24"/>
  </w:num>
  <w:num w:numId="17">
    <w:abstractNumId w:val="2"/>
  </w:num>
  <w:num w:numId="18">
    <w:abstractNumId w:val="43"/>
  </w:num>
  <w:num w:numId="19">
    <w:abstractNumId w:val="11"/>
  </w:num>
  <w:num w:numId="20">
    <w:abstractNumId w:val="33"/>
  </w:num>
  <w:num w:numId="21">
    <w:abstractNumId w:val="40"/>
  </w:num>
  <w:num w:numId="22">
    <w:abstractNumId w:val="41"/>
  </w:num>
  <w:num w:numId="23">
    <w:abstractNumId w:val="31"/>
  </w:num>
  <w:num w:numId="24">
    <w:abstractNumId w:val="32"/>
  </w:num>
  <w:num w:numId="25">
    <w:abstractNumId w:val="45"/>
  </w:num>
  <w:num w:numId="26">
    <w:abstractNumId w:val="27"/>
  </w:num>
  <w:num w:numId="27">
    <w:abstractNumId w:val="44"/>
  </w:num>
  <w:num w:numId="28">
    <w:abstractNumId w:val="10"/>
  </w:num>
  <w:num w:numId="29">
    <w:abstractNumId w:val="25"/>
  </w:num>
  <w:num w:numId="30">
    <w:abstractNumId w:val="14"/>
  </w:num>
  <w:num w:numId="31">
    <w:abstractNumId w:val="21"/>
  </w:num>
  <w:num w:numId="32">
    <w:abstractNumId w:val="4"/>
  </w:num>
  <w:num w:numId="33">
    <w:abstractNumId w:val="6"/>
  </w:num>
  <w:num w:numId="34">
    <w:abstractNumId w:val="35"/>
  </w:num>
  <w:num w:numId="35">
    <w:abstractNumId w:val="42"/>
  </w:num>
  <w:num w:numId="36">
    <w:abstractNumId w:val="16"/>
  </w:num>
  <w:num w:numId="37">
    <w:abstractNumId w:val="22"/>
  </w:num>
  <w:num w:numId="38">
    <w:abstractNumId w:val="34"/>
  </w:num>
  <w:num w:numId="39">
    <w:abstractNumId w:val="26"/>
  </w:num>
  <w:num w:numId="40">
    <w:abstractNumId w:val="3"/>
  </w:num>
  <w:num w:numId="41">
    <w:abstractNumId w:val="28"/>
  </w:num>
  <w:num w:numId="42">
    <w:abstractNumId w:val="20"/>
  </w:num>
  <w:num w:numId="43">
    <w:abstractNumId w:val="38"/>
  </w:num>
  <w:num w:numId="44">
    <w:abstractNumId w:val="17"/>
  </w:num>
  <w:num w:numId="45">
    <w:abstractNumId w:val="5"/>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ABD"/>
    <w:rsid w:val="00004959"/>
    <w:rsid w:val="00012547"/>
    <w:rsid w:val="000150B9"/>
    <w:rsid w:val="00023A60"/>
    <w:rsid w:val="00027F80"/>
    <w:rsid w:val="000346DA"/>
    <w:rsid w:val="000371C3"/>
    <w:rsid w:val="0006042B"/>
    <w:rsid w:val="0006281D"/>
    <w:rsid w:val="00065100"/>
    <w:rsid w:val="00074BD0"/>
    <w:rsid w:val="00075C9E"/>
    <w:rsid w:val="000914E8"/>
    <w:rsid w:val="000A10AB"/>
    <w:rsid w:val="000A3931"/>
    <w:rsid w:val="000A481B"/>
    <w:rsid w:val="000A4FD6"/>
    <w:rsid w:val="000A6632"/>
    <w:rsid w:val="000B265B"/>
    <w:rsid w:val="000C5843"/>
    <w:rsid w:val="000D01D6"/>
    <w:rsid w:val="000D7C4E"/>
    <w:rsid w:val="000E15DA"/>
    <w:rsid w:val="000F16A5"/>
    <w:rsid w:val="00102251"/>
    <w:rsid w:val="00102CC8"/>
    <w:rsid w:val="0011384B"/>
    <w:rsid w:val="001216A3"/>
    <w:rsid w:val="00123363"/>
    <w:rsid w:val="001250FD"/>
    <w:rsid w:val="00126223"/>
    <w:rsid w:val="0012654E"/>
    <w:rsid w:val="00127052"/>
    <w:rsid w:val="00142F0C"/>
    <w:rsid w:val="00147E68"/>
    <w:rsid w:val="00151292"/>
    <w:rsid w:val="00153C97"/>
    <w:rsid w:val="00162738"/>
    <w:rsid w:val="00162AB8"/>
    <w:rsid w:val="00184F27"/>
    <w:rsid w:val="00191C89"/>
    <w:rsid w:val="00194B64"/>
    <w:rsid w:val="001958AF"/>
    <w:rsid w:val="001A41AE"/>
    <w:rsid w:val="001C1F30"/>
    <w:rsid w:val="001C2E3E"/>
    <w:rsid w:val="001D167C"/>
    <w:rsid w:val="001E0D1B"/>
    <w:rsid w:val="002055AB"/>
    <w:rsid w:val="002130C9"/>
    <w:rsid w:val="00214F7D"/>
    <w:rsid w:val="00217D82"/>
    <w:rsid w:val="00217F9D"/>
    <w:rsid w:val="00234946"/>
    <w:rsid w:val="00241ACA"/>
    <w:rsid w:val="00244AEA"/>
    <w:rsid w:val="00251FDC"/>
    <w:rsid w:val="00252DDE"/>
    <w:rsid w:val="0025597F"/>
    <w:rsid w:val="0025622B"/>
    <w:rsid w:val="00257A51"/>
    <w:rsid w:val="00260C5F"/>
    <w:rsid w:val="0026154C"/>
    <w:rsid w:val="00262CBC"/>
    <w:rsid w:val="002674F3"/>
    <w:rsid w:val="0027120E"/>
    <w:rsid w:val="002831ED"/>
    <w:rsid w:val="00283250"/>
    <w:rsid w:val="00291868"/>
    <w:rsid w:val="002936A3"/>
    <w:rsid w:val="002A498D"/>
    <w:rsid w:val="002A6593"/>
    <w:rsid w:val="002B003E"/>
    <w:rsid w:val="002B0EC8"/>
    <w:rsid w:val="002B1265"/>
    <w:rsid w:val="002B200B"/>
    <w:rsid w:val="002B3894"/>
    <w:rsid w:val="002B3A02"/>
    <w:rsid w:val="002B472D"/>
    <w:rsid w:val="002B601E"/>
    <w:rsid w:val="002B74E4"/>
    <w:rsid w:val="002C4869"/>
    <w:rsid w:val="002D3ADD"/>
    <w:rsid w:val="002D7EEF"/>
    <w:rsid w:val="002E4A16"/>
    <w:rsid w:val="002F09B7"/>
    <w:rsid w:val="002F120E"/>
    <w:rsid w:val="002F67F5"/>
    <w:rsid w:val="00300E22"/>
    <w:rsid w:val="00307CDE"/>
    <w:rsid w:val="0031283B"/>
    <w:rsid w:val="00313CE5"/>
    <w:rsid w:val="00315454"/>
    <w:rsid w:val="00315FAF"/>
    <w:rsid w:val="003208A2"/>
    <w:rsid w:val="00320C6D"/>
    <w:rsid w:val="003242A7"/>
    <w:rsid w:val="00333FBF"/>
    <w:rsid w:val="00334396"/>
    <w:rsid w:val="00334C7B"/>
    <w:rsid w:val="003359C5"/>
    <w:rsid w:val="00335E65"/>
    <w:rsid w:val="00344B09"/>
    <w:rsid w:val="00351F5B"/>
    <w:rsid w:val="00354AEC"/>
    <w:rsid w:val="00356279"/>
    <w:rsid w:val="003606D0"/>
    <w:rsid w:val="0036120A"/>
    <w:rsid w:val="003621D0"/>
    <w:rsid w:val="00364871"/>
    <w:rsid w:val="00365A8D"/>
    <w:rsid w:val="0037217E"/>
    <w:rsid w:val="00376AE3"/>
    <w:rsid w:val="00381651"/>
    <w:rsid w:val="0038392D"/>
    <w:rsid w:val="003859BE"/>
    <w:rsid w:val="00391CC4"/>
    <w:rsid w:val="00396145"/>
    <w:rsid w:val="003A1DDB"/>
    <w:rsid w:val="003A4981"/>
    <w:rsid w:val="003A4A74"/>
    <w:rsid w:val="003A6274"/>
    <w:rsid w:val="003A78ED"/>
    <w:rsid w:val="003B0A5B"/>
    <w:rsid w:val="003B28B5"/>
    <w:rsid w:val="003B3215"/>
    <w:rsid w:val="003B3244"/>
    <w:rsid w:val="003B57A4"/>
    <w:rsid w:val="003C3278"/>
    <w:rsid w:val="003D569D"/>
    <w:rsid w:val="003E5DD9"/>
    <w:rsid w:val="003E6696"/>
    <w:rsid w:val="00401A29"/>
    <w:rsid w:val="00402953"/>
    <w:rsid w:val="0040298B"/>
    <w:rsid w:val="0040620A"/>
    <w:rsid w:val="00406CB9"/>
    <w:rsid w:val="00407B63"/>
    <w:rsid w:val="0041168D"/>
    <w:rsid w:val="0041354A"/>
    <w:rsid w:val="00423CE3"/>
    <w:rsid w:val="004279E0"/>
    <w:rsid w:val="00433B77"/>
    <w:rsid w:val="00440DC1"/>
    <w:rsid w:val="00445389"/>
    <w:rsid w:val="00463B0C"/>
    <w:rsid w:val="004646C5"/>
    <w:rsid w:val="004650A8"/>
    <w:rsid w:val="004656EE"/>
    <w:rsid w:val="0047756D"/>
    <w:rsid w:val="00480C88"/>
    <w:rsid w:val="00481649"/>
    <w:rsid w:val="004858E0"/>
    <w:rsid w:val="00486353"/>
    <w:rsid w:val="00486FD4"/>
    <w:rsid w:val="00493ECE"/>
    <w:rsid w:val="004B2E90"/>
    <w:rsid w:val="004B4072"/>
    <w:rsid w:val="004B72E5"/>
    <w:rsid w:val="004C0A55"/>
    <w:rsid w:val="004C6A23"/>
    <w:rsid w:val="004C6B3F"/>
    <w:rsid w:val="004C6FA0"/>
    <w:rsid w:val="004E0DDE"/>
    <w:rsid w:val="004E2A2D"/>
    <w:rsid w:val="004E4448"/>
    <w:rsid w:val="004F06BF"/>
    <w:rsid w:val="004F081C"/>
    <w:rsid w:val="004F1337"/>
    <w:rsid w:val="004F27E5"/>
    <w:rsid w:val="004F2A3B"/>
    <w:rsid w:val="004F69E0"/>
    <w:rsid w:val="004F6F31"/>
    <w:rsid w:val="00500020"/>
    <w:rsid w:val="00507BBC"/>
    <w:rsid w:val="00514E11"/>
    <w:rsid w:val="00517A12"/>
    <w:rsid w:val="00531212"/>
    <w:rsid w:val="00534194"/>
    <w:rsid w:val="005373F1"/>
    <w:rsid w:val="00544FB3"/>
    <w:rsid w:val="005476C4"/>
    <w:rsid w:val="0055669E"/>
    <w:rsid w:val="00562AFF"/>
    <w:rsid w:val="00563738"/>
    <w:rsid w:val="00566EB1"/>
    <w:rsid w:val="00574877"/>
    <w:rsid w:val="00574F3B"/>
    <w:rsid w:val="00580716"/>
    <w:rsid w:val="005825DF"/>
    <w:rsid w:val="005829E8"/>
    <w:rsid w:val="005872E5"/>
    <w:rsid w:val="005A156A"/>
    <w:rsid w:val="005A2C6D"/>
    <w:rsid w:val="005B197C"/>
    <w:rsid w:val="005C0FFD"/>
    <w:rsid w:val="005C29B6"/>
    <w:rsid w:val="005C3750"/>
    <w:rsid w:val="005C6FD6"/>
    <w:rsid w:val="005C7073"/>
    <w:rsid w:val="005D2E17"/>
    <w:rsid w:val="005E2F6A"/>
    <w:rsid w:val="005E425E"/>
    <w:rsid w:val="005E6308"/>
    <w:rsid w:val="005E76EF"/>
    <w:rsid w:val="005F2E2C"/>
    <w:rsid w:val="006000F3"/>
    <w:rsid w:val="0060053C"/>
    <w:rsid w:val="00600A63"/>
    <w:rsid w:val="00603014"/>
    <w:rsid w:val="00604D0E"/>
    <w:rsid w:val="00605C67"/>
    <w:rsid w:val="00612767"/>
    <w:rsid w:val="00612AF0"/>
    <w:rsid w:val="00612CF1"/>
    <w:rsid w:val="006160BE"/>
    <w:rsid w:val="0062167A"/>
    <w:rsid w:val="0062202D"/>
    <w:rsid w:val="006229DC"/>
    <w:rsid w:val="006234C0"/>
    <w:rsid w:val="0062475E"/>
    <w:rsid w:val="00625DE5"/>
    <w:rsid w:val="006266AE"/>
    <w:rsid w:val="00646336"/>
    <w:rsid w:val="00647527"/>
    <w:rsid w:val="00650E3F"/>
    <w:rsid w:val="00671CC9"/>
    <w:rsid w:val="00672F61"/>
    <w:rsid w:val="0067321F"/>
    <w:rsid w:val="0067342C"/>
    <w:rsid w:val="00674CBE"/>
    <w:rsid w:val="006809FB"/>
    <w:rsid w:val="0069557E"/>
    <w:rsid w:val="00695BF8"/>
    <w:rsid w:val="00696347"/>
    <w:rsid w:val="00696692"/>
    <w:rsid w:val="006967E8"/>
    <w:rsid w:val="006A0E8C"/>
    <w:rsid w:val="006A740E"/>
    <w:rsid w:val="006B196C"/>
    <w:rsid w:val="006B1C18"/>
    <w:rsid w:val="006B46F7"/>
    <w:rsid w:val="006B6F34"/>
    <w:rsid w:val="006C4526"/>
    <w:rsid w:val="006C7DF4"/>
    <w:rsid w:val="006D4E09"/>
    <w:rsid w:val="006D4F69"/>
    <w:rsid w:val="006D6BB8"/>
    <w:rsid w:val="006D70CD"/>
    <w:rsid w:val="006E5B3D"/>
    <w:rsid w:val="006E664C"/>
    <w:rsid w:val="00701E66"/>
    <w:rsid w:val="00713C9B"/>
    <w:rsid w:val="00716739"/>
    <w:rsid w:val="00723C5D"/>
    <w:rsid w:val="0073065E"/>
    <w:rsid w:val="00733D99"/>
    <w:rsid w:val="00737AFD"/>
    <w:rsid w:val="007426FC"/>
    <w:rsid w:val="0075024A"/>
    <w:rsid w:val="007517EB"/>
    <w:rsid w:val="0075221D"/>
    <w:rsid w:val="0075296E"/>
    <w:rsid w:val="007566CA"/>
    <w:rsid w:val="007655D3"/>
    <w:rsid w:val="00767352"/>
    <w:rsid w:val="007729EC"/>
    <w:rsid w:val="007736B0"/>
    <w:rsid w:val="00777D36"/>
    <w:rsid w:val="00782E77"/>
    <w:rsid w:val="00782FDC"/>
    <w:rsid w:val="007830ED"/>
    <w:rsid w:val="007863FD"/>
    <w:rsid w:val="00794BD8"/>
    <w:rsid w:val="007A0CF8"/>
    <w:rsid w:val="007A5915"/>
    <w:rsid w:val="007A6A5C"/>
    <w:rsid w:val="007A7366"/>
    <w:rsid w:val="007B0A42"/>
    <w:rsid w:val="007B32D4"/>
    <w:rsid w:val="007D7B86"/>
    <w:rsid w:val="007D7CA4"/>
    <w:rsid w:val="007E1040"/>
    <w:rsid w:val="007E13E4"/>
    <w:rsid w:val="007F182B"/>
    <w:rsid w:val="007F2172"/>
    <w:rsid w:val="007F224E"/>
    <w:rsid w:val="007F431E"/>
    <w:rsid w:val="007F44DE"/>
    <w:rsid w:val="0080295A"/>
    <w:rsid w:val="00813397"/>
    <w:rsid w:val="00821490"/>
    <w:rsid w:val="00821849"/>
    <w:rsid w:val="00834995"/>
    <w:rsid w:val="008364A0"/>
    <w:rsid w:val="00836FB3"/>
    <w:rsid w:val="0084101F"/>
    <w:rsid w:val="0084123D"/>
    <w:rsid w:val="00842831"/>
    <w:rsid w:val="00845733"/>
    <w:rsid w:val="00850EC1"/>
    <w:rsid w:val="008714B3"/>
    <w:rsid w:val="00871A99"/>
    <w:rsid w:val="008759B7"/>
    <w:rsid w:val="00876B32"/>
    <w:rsid w:val="00885718"/>
    <w:rsid w:val="00896669"/>
    <w:rsid w:val="008A2008"/>
    <w:rsid w:val="008A50F1"/>
    <w:rsid w:val="008B58DF"/>
    <w:rsid w:val="008B699A"/>
    <w:rsid w:val="008C184C"/>
    <w:rsid w:val="008C594F"/>
    <w:rsid w:val="008C5AD0"/>
    <w:rsid w:val="008D3088"/>
    <w:rsid w:val="008D412C"/>
    <w:rsid w:val="008D5D42"/>
    <w:rsid w:val="008D70D2"/>
    <w:rsid w:val="008E37C3"/>
    <w:rsid w:val="008F0158"/>
    <w:rsid w:val="008F69EF"/>
    <w:rsid w:val="00900A88"/>
    <w:rsid w:val="009011B3"/>
    <w:rsid w:val="009017E4"/>
    <w:rsid w:val="00904DE2"/>
    <w:rsid w:val="00905B0A"/>
    <w:rsid w:val="00906662"/>
    <w:rsid w:val="00910778"/>
    <w:rsid w:val="009122D9"/>
    <w:rsid w:val="0091361A"/>
    <w:rsid w:val="009204D5"/>
    <w:rsid w:val="00924E9E"/>
    <w:rsid w:val="00927BDA"/>
    <w:rsid w:val="009318B7"/>
    <w:rsid w:val="009328A7"/>
    <w:rsid w:val="009342D6"/>
    <w:rsid w:val="009416AB"/>
    <w:rsid w:val="00942F28"/>
    <w:rsid w:val="00945FB4"/>
    <w:rsid w:val="00947D35"/>
    <w:rsid w:val="00955ACD"/>
    <w:rsid w:val="009572A5"/>
    <w:rsid w:val="0096250E"/>
    <w:rsid w:val="00962F1A"/>
    <w:rsid w:val="009661EF"/>
    <w:rsid w:val="009675E6"/>
    <w:rsid w:val="00974252"/>
    <w:rsid w:val="009745B7"/>
    <w:rsid w:val="009753E5"/>
    <w:rsid w:val="00980C0D"/>
    <w:rsid w:val="00985DC5"/>
    <w:rsid w:val="00985ECC"/>
    <w:rsid w:val="00987988"/>
    <w:rsid w:val="00992947"/>
    <w:rsid w:val="009975A3"/>
    <w:rsid w:val="009A2DE2"/>
    <w:rsid w:val="009A33D4"/>
    <w:rsid w:val="009A56C3"/>
    <w:rsid w:val="009B5607"/>
    <w:rsid w:val="009C0012"/>
    <w:rsid w:val="009C2FF8"/>
    <w:rsid w:val="009C334D"/>
    <w:rsid w:val="009C41E5"/>
    <w:rsid w:val="009E38FF"/>
    <w:rsid w:val="009E6690"/>
    <w:rsid w:val="009F799A"/>
    <w:rsid w:val="00A01910"/>
    <w:rsid w:val="00A03AEF"/>
    <w:rsid w:val="00A06E8F"/>
    <w:rsid w:val="00A13F15"/>
    <w:rsid w:val="00A16022"/>
    <w:rsid w:val="00A21CB9"/>
    <w:rsid w:val="00A25C35"/>
    <w:rsid w:val="00A31358"/>
    <w:rsid w:val="00A32733"/>
    <w:rsid w:val="00A33EEE"/>
    <w:rsid w:val="00A4128F"/>
    <w:rsid w:val="00A43EFD"/>
    <w:rsid w:val="00A44554"/>
    <w:rsid w:val="00A448AE"/>
    <w:rsid w:val="00A4794A"/>
    <w:rsid w:val="00A50A89"/>
    <w:rsid w:val="00A60F2E"/>
    <w:rsid w:val="00A720CA"/>
    <w:rsid w:val="00A74120"/>
    <w:rsid w:val="00A80767"/>
    <w:rsid w:val="00A83B0A"/>
    <w:rsid w:val="00A842CD"/>
    <w:rsid w:val="00A84DC3"/>
    <w:rsid w:val="00A930F8"/>
    <w:rsid w:val="00A93C01"/>
    <w:rsid w:val="00A974EA"/>
    <w:rsid w:val="00AA7B6A"/>
    <w:rsid w:val="00AB3EFC"/>
    <w:rsid w:val="00AC36F3"/>
    <w:rsid w:val="00AC37C4"/>
    <w:rsid w:val="00AC5353"/>
    <w:rsid w:val="00AD2371"/>
    <w:rsid w:val="00AD6C5F"/>
    <w:rsid w:val="00AE4659"/>
    <w:rsid w:val="00AE4939"/>
    <w:rsid w:val="00AE4FF3"/>
    <w:rsid w:val="00AE5161"/>
    <w:rsid w:val="00AF0100"/>
    <w:rsid w:val="00B01D91"/>
    <w:rsid w:val="00B025FE"/>
    <w:rsid w:val="00B05C94"/>
    <w:rsid w:val="00B10261"/>
    <w:rsid w:val="00B14CFF"/>
    <w:rsid w:val="00B21722"/>
    <w:rsid w:val="00B239E8"/>
    <w:rsid w:val="00B2448B"/>
    <w:rsid w:val="00B24FF5"/>
    <w:rsid w:val="00B250AA"/>
    <w:rsid w:val="00B26E93"/>
    <w:rsid w:val="00B3798E"/>
    <w:rsid w:val="00B37AAF"/>
    <w:rsid w:val="00B45546"/>
    <w:rsid w:val="00B50253"/>
    <w:rsid w:val="00B5584E"/>
    <w:rsid w:val="00B56FB1"/>
    <w:rsid w:val="00B61032"/>
    <w:rsid w:val="00B6288D"/>
    <w:rsid w:val="00B65121"/>
    <w:rsid w:val="00B7320B"/>
    <w:rsid w:val="00B73BB2"/>
    <w:rsid w:val="00B73D6F"/>
    <w:rsid w:val="00B753C1"/>
    <w:rsid w:val="00B8708F"/>
    <w:rsid w:val="00B91E17"/>
    <w:rsid w:val="00B94542"/>
    <w:rsid w:val="00B9499B"/>
    <w:rsid w:val="00BA777D"/>
    <w:rsid w:val="00BA7ACD"/>
    <w:rsid w:val="00BB037E"/>
    <w:rsid w:val="00BB15C4"/>
    <w:rsid w:val="00BD0771"/>
    <w:rsid w:val="00BD4598"/>
    <w:rsid w:val="00BE5BBE"/>
    <w:rsid w:val="00BF11CB"/>
    <w:rsid w:val="00BF463C"/>
    <w:rsid w:val="00C126CC"/>
    <w:rsid w:val="00C127D0"/>
    <w:rsid w:val="00C144E4"/>
    <w:rsid w:val="00C1569E"/>
    <w:rsid w:val="00C26A9B"/>
    <w:rsid w:val="00C3017B"/>
    <w:rsid w:val="00C30FEA"/>
    <w:rsid w:val="00C46BF2"/>
    <w:rsid w:val="00C5257C"/>
    <w:rsid w:val="00C5344A"/>
    <w:rsid w:val="00C5428E"/>
    <w:rsid w:val="00C66FC2"/>
    <w:rsid w:val="00C72672"/>
    <w:rsid w:val="00C728DE"/>
    <w:rsid w:val="00C72A63"/>
    <w:rsid w:val="00C72C47"/>
    <w:rsid w:val="00C73844"/>
    <w:rsid w:val="00C76971"/>
    <w:rsid w:val="00C8152F"/>
    <w:rsid w:val="00C83F52"/>
    <w:rsid w:val="00C85B7E"/>
    <w:rsid w:val="00C93F62"/>
    <w:rsid w:val="00C977E4"/>
    <w:rsid w:val="00CA2483"/>
    <w:rsid w:val="00CA2A91"/>
    <w:rsid w:val="00CA30C7"/>
    <w:rsid w:val="00CA7795"/>
    <w:rsid w:val="00CB7391"/>
    <w:rsid w:val="00CB7FE5"/>
    <w:rsid w:val="00CC0732"/>
    <w:rsid w:val="00CC1238"/>
    <w:rsid w:val="00CC2ABD"/>
    <w:rsid w:val="00CC314D"/>
    <w:rsid w:val="00CC6A22"/>
    <w:rsid w:val="00CC746A"/>
    <w:rsid w:val="00CD0157"/>
    <w:rsid w:val="00CD22E1"/>
    <w:rsid w:val="00CD2855"/>
    <w:rsid w:val="00CD2D38"/>
    <w:rsid w:val="00CE272E"/>
    <w:rsid w:val="00CE54DE"/>
    <w:rsid w:val="00CF28C2"/>
    <w:rsid w:val="00CF507B"/>
    <w:rsid w:val="00D038E2"/>
    <w:rsid w:val="00D0743B"/>
    <w:rsid w:val="00D178ED"/>
    <w:rsid w:val="00D25C11"/>
    <w:rsid w:val="00D3015F"/>
    <w:rsid w:val="00D36C49"/>
    <w:rsid w:val="00D402B4"/>
    <w:rsid w:val="00D4325F"/>
    <w:rsid w:val="00D44505"/>
    <w:rsid w:val="00D522A0"/>
    <w:rsid w:val="00D60B11"/>
    <w:rsid w:val="00D637BD"/>
    <w:rsid w:val="00D66185"/>
    <w:rsid w:val="00D67C8D"/>
    <w:rsid w:val="00D72243"/>
    <w:rsid w:val="00D7270C"/>
    <w:rsid w:val="00D7334C"/>
    <w:rsid w:val="00D82EF4"/>
    <w:rsid w:val="00D83792"/>
    <w:rsid w:val="00D838B1"/>
    <w:rsid w:val="00D84B99"/>
    <w:rsid w:val="00D84BD4"/>
    <w:rsid w:val="00D85C27"/>
    <w:rsid w:val="00D94561"/>
    <w:rsid w:val="00DA50E9"/>
    <w:rsid w:val="00DA66A4"/>
    <w:rsid w:val="00DB1381"/>
    <w:rsid w:val="00DB20FF"/>
    <w:rsid w:val="00DB2683"/>
    <w:rsid w:val="00DB470C"/>
    <w:rsid w:val="00DC363C"/>
    <w:rsid w:val="00DC3B34"/>
    <w:rsid w:val="00DC5B78"/>
    <w:rsid w:val="00DD144B"/>
    <w:rsid w:val="00DD1849"/>
    <w:rsid w:val="00DD73E7"/>
    <w:rsid w:val="00DF106A"/>
    <w:rsid w:val="00DF59FB"/>
    <w:rsid w:val="00DF7EAE"/>
    <w:rsid w:val="00E00DB7"/>
    <w:rsid w:val="00E058E3"/>
    <w:rsid w:val="00E05CE1"/>
    <w:rsid w:val="00E07D01"/>
    <w:rsid w:val="00E07F36"/>
    <w:rsid w:val="00E16529"/>
    <w:rsid w:val="00E21BE4"/>
    <w:rsid w:val="00E377E3"/>
    <w:rsid w:val="00E41719"/>
    <w:rsid w:val="00E432EA"/>
    <w:rsid w:val="00E5152C"/>
    <w:rsid w:val="00E556EA"/>
    <w:rsid w:val="00E61E06"/>
    <w:rsid w:val="00E631BC"/>
    <w:rsid w:val="00E65102"/>
    <w:rsid w:val="00E701CB"/>
    <w:rsid w:val="00E739E9"/>
    <w:rsid w:val="00E763A6"/>
    <w:rsid w:val="00E91540"/>
    <w:rsid w:val="00E924D3"/>
    <w:rsid w:val="00EA0844"/>
    <w:rsid w:val="00EA0E37"/>
    <w:rsid w:val="00EA6DA9"/>
    <w:rsid w:val="00ED12EC"/>
    <w:rsid w:val="00ED758F"/>
    <w:rsid w:val="00EE0FE8"/>
    <w:rsid w:val="00EE296B"/>
    <w:rsid w:val="00EE5B4E"/>
    <w:rsid w:val="00EE5CE6"/>
    <w:rsid w:val="00EF0977"/>
    <w:rsid w:val="00EF46D4"/>
    <w:rsid w:val="00EF4EC1"/>
    <w:rsid w:val="00EF559D"/>
    <w:rsid w:val="00EF71A1"/>
    <w:rsid w:val="00F024E6"/>
    <w:rsid w:val="00F07207"/>
    <w:rsid w:val="00F12EA3"/>
    <w:rsid w:val="00F15965"/>
    <w:rsid w:val="00F2449E"/>
    <w:rsid w:val="00F24B09"/>
    <w:rsid w:val="00F25A6A"/>
    <w:rsid w:val="00F26E46"/>
    <w:rsid w:val="00F2783D"/>
    <w:rsid w:val="00F3077F"/>
    <w:rsid w:val="00F30B80"/>
    <w:rsid w:val="00F310DD"/>
    <w:rsid w:val="00F32D41"/>
    <w:rsid w:val="00F353DB"/>
    <w:rsid w:val="00F355E3"/>
    <w:rsid w:val="00F3570C"/>
    <w:rsid w:val="00F357D5"/>
    <w:rsid w:val="00F40B09"/>
    <w:rsid w:val="00F450D0"/>
    <w:rsid w:val="00F470A6"/>
    <w:rsid w:val="00F613FB"/>
    <w:rsid w:val="00F61F95"/>
    <w:rsid w:val="00F7678D"/>
    <w:rsid w:val="00F81ADD"/>
    <w:rsid w:val="00F82660"/>
    <w:rsid w:val="00F923FD"/>
    <w:rsid w:val="00F97EE3"/>
    <w:rsid w:val="00FA23A0"/>
    <w:rsid w:val="00FA2E6E"/>
    <w:rsid w:val="00FA3146"/>
    <w:rsid w:val="00FA740D"/>
    <w:rsid w:val="00FB0600"/>
    <w:rsid w:val="00FB2C4E"/>
    <w:rsid w:val="00FB52BD"/>
    <w:rsid w:val="00FB5732"/>
    <w:rsid w:val="00FC0620"/>
    <w:rsid w:val="00FC1098"/>
    <w:rsid w:val="00FC109D"/>
    <w:rsid w:val="00FD0B6E"/>
    <w:rsid w:val="00FD3F89"/>
    <w:rsid w:val="00FF7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FB1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ABD"/>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194B64"/>
    <w:pPr>
      <w:keepNext/>
      <w:keepLines/>
      <w:pBdr>
        <w:bottom w:val="single" w:sz="4" w:space="1" w:color="4F81BD" w:themeColor="accent1"/>
      </w:pBdr>
      <w:spacing w:before="400" w:after="40"/>
      <w:outlineLvl w:val="0"/>
    </w:pPr>
    <w:rPr>
      <w:rFonts w:asciiTheme="majorHAnsi" w:eastAsiaTheme="majorEastAsia" w:hAnsiTheme="majorHAnsi" w:cstheme="majorBidi"/>
      <w:color w:val="365F91" w:themeColor="accent1" w:themeShade="BF"/>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w:basedOn w:val="Normal"/>
    <w:link w:val="BodyTextChar"/>
    <w:uiPriority w:val="99"/>
    <w:rsid w:val="00CC2ABD"/>
    <w:pPr>
      <w:jc w:val="both"/>
    </w:pPr>
    <w:rPr>
      <w:lang w:val="en-US"/>
    </w:rPr>
  </w:style>
  <w:style w:type="character" w:customStyle="1" w:styleId="BodyTextChar">
    <w:name w:val="Body Text Char"/>
    <w:aliases w:val="Body Text Char Char Char"/>
    <w:basedOn w:val="DefaultParagraphFont"/>
    <w:link w:val="BodyText"/>
    <w:uiPriority w:val="99"/>
    <w:rsid w:val="00CC2ABD"/>
    <w:rPr>
      <w:rFonts w:ascii="Times New Roman" w:eastAsia="Times New Roman" w:hAnsi="Times New Roman" w:cs="Times New Roman"/>
      <w:sz w:val="24"/>
      <w:szCs w:val="24"/>
    </w:rPr>
  </w:style>
  <w:style w:type="paragraph" w:styleId="BodyText2">
    <w:name w:val="Body Text 2"/>
    <w:basedOn w:val="Normal"/>
    <w:link w:val="BodyText2Char"/>
    <w:uiPriority w:val="99"/>
    <w:rsid w:val="00CC2ABD"/>
    <w:pPr>
      <w:spacing w:after="120" w:line="480" w:lineRule="auto"/>
    </w:pPr>
  </w:style>
  <w:style w:type="character" w:customStyle="1" w:styleId="BodyText2Char">
    <w:name w:val="Body Text 2 Char"/>
    <w:basedOn w:val="DefaultParagraphFont"/>
    <w:link w:val="BodyText2"/>
    <w:uiPriority w:val="99"/>
    <w:rsid w:val="00CC2ABD"/>
    <w:rPr>
      <w:rFonts w:ascii="Times New Roman" w:eastAsia="Times New Roman" w:hAnsi="Times New Roman" w:cs="Times New Roman"/>
      <w:sz w:val="24"/>
      <w:szCs w:val="24"/>
      <w:lang w:val="en-GB"/>
    </w:rPr>
  </w:style>
  <w:style w:type="paragraph" w:customStyle="1" w:styleId="0Normal">
    <w:name w:val="!0 Normal"/>
    <w:uiPriority w:val="99"/>
    <w:rsid w:val="00CC2ABD"/>
    <w:pPr>
      <w:spacing w:after="0" w:line="240" w:lineRule="auto"/>
    </w:pPr>
    <w:rPr>
      <w:rFonts w:ascii="Times New Roman" w:eastAsia="Times New Roman" w:hAnsi="Times New Roman" w:cs="Times New Roman"/>
      <w:sz w:val="20"/>
      <w:szCs w:val="20"/>
      <w:lang w:val="en-GB"/>
    </w:rPr>
  </w:style>
  <w:style w:type="paragraph" w:styleId="List">
    <w:name w:val="List"/>
    <w:basedOn w:val="Normal"/>
    <w:uiPriority w:val="99"/>
    <w:rsid w:val="00CC2ABD"/>
    <w:pPr>
      <w:ind w:left="360" w:hanging="360"/>
    </w:pPr>
  </w:style>
  <w:style w:type="paragraph" w:styleId="List2">
    <w:name w:val="List 2"/>
    <w:basedOn w:val="Normal"/>
    <w:uiPriority w:val="99"/>
    <w:rsid w:val="00CC2ABD"/>
    <w:pPr>
      <w:ind w:left="720" w:hanging="360"/>
    </w:pPr>
  </w:style>
  <w:style w:type="paragraph" w:styleId="ListBullet">
    <w:name w:val="List Bullet"/>
    <w:basedOn w:val="Normal"/>
    <w:uiPriority w:val="99"/>
    <w:rsid w:val="00CC2ABD"/>
    <w:pPr>
      <w:numPr>
        <w:numId w:val="1"/>
      </w:numPr>
    </w:pPr>
  </w:style>
  <w:style w:type="paragraph" w:styleId="ListBullet3">
    <w:name w:val="List Bullet 3"/>
    <w:basedOn w:val="Normal"/>
    <w:uiPriority w:val="99"/>
    <w:rsid w:val="00CC2ABD"/>
    <w:pPr>
      <w:numPr>
        <w:numId w:val="2"/>
      </w:numPr>
    </w:pPr>
  </w:style>
  <w:style w:type="paragraph" w:styleId="ListContinue">
    <w:name w:val="List Continue"/>
    <w:basedOn w:val="Normal"/>
    <w:uiPriority w:val="99"/>
    <w:rsid w:val="00CC2ABD"/>
    <w:pPr>
      <w:spacing w:after="120"/>
      <w:ind w:left="360"/>
    </w:pPr>
  </w:style>
  <w:style w:type="paragraph" w:styleId="Caption">
    <w:name w:val="caption"/>
    <w:basedOn w:val="Normal"/>
    <w:next w:val="Normal"/>
    <w:uiPriority w:val="99"/>
    <w:qFormat/>
    <w:rsid w:val="00CC2ABD"/>
    <w:rPr>
      <w:b/>
      <w:bCs/>
      <w:sz w:val="20"/>
      <w:szCs w:val="20"/>
    </w:rPr>
  </w:style>
  <w:style w:type="paragraph" w:styleId="BodyTextFirstIndent">
    <w:name w:val="Body Text First Indent"/>
    <w:basedOn w:val="BodyText"/>
    <w:link w:val="BodyTextFirstIndentChar"/>
    <w:uiPriority w:val="99"/>
    <w:rsid w:val="00CC2ABD"/>
    <w:pPr>
      <w:spacing w:after="120"/>
      <w:ind w:firstLine="210"/>
      <w:jc w:val="left"/>
    </w:pPr>
    <w:rPr>
      <w:lang w:val="en-GB"/>
    </w:rPr>
  </w:style>
  <w:style w:type="character" w:customStyle="1" w:styleId="BodyTextFirstIndentChar">
    <w:name w:val="Body Text First Indent Char"/>
    <w:basedOn w:val="BodyTextChar"/>
    <w:link w:val="BodyTextFirstIndent"/>
    <w:uiPriority w:val="99"/>
    <w:rsid w:val="00CC2ABD"/>
    <w:rPr>
      <w:rFonts w:ascii="Times New Roman" w:eastAsia="Times New Roman" w:hAnsi="Times New Roman" w:cs="Times New Roman"/>
      <w:sz w:val="24"/>
      <w:szCs w:val="24"/>
      <w:lang w:val="en-GB"/>
    </w:rPr>
  </w:style>
  <w:style w:type="character" w:customStyle="1" w:styleId="docheader">
    <w:name w:val="doc_header"/>
    <w:uiPriority w:val="99"/>
    <w:rsid w:val="00CC2ABD"/>
    <w:rPr>
      <w:rFonts w:cs="Times New Roman"/>
    </w:rPr>
  </w:style>
  <w:style w:type="character" w:customStyle="1" w:styleId="longtext">
    <w:name w:val="long_text"/>
    <w:rsid w:val="00CC2ABD"/>
    <w:rPr>
      <w:rFonts w:cs="Times New Roman"/>
    </w:rPr>
  </w:style>
  <w:style w:type="character" w:styleId="Strong">
    <w:name w:val="Strong"/>
    <w:basedOn w:val="DefaultParagraphFont"/>
    <w:uiPriority w:val="22"/>
    <w:qFormat/>
    <w:rsid w:val="00CC2ABD"/>
    <w:rPr>
      <w:b/>
      <w:bCs/>
    </w:rPr>
  </w:style>
  <w:style w:type="character" w:customStyle="1" w:styleId="med1">
    <w:name w:val="med1"/>
    <w:basedOn w:val="DefaultParagraphFont"/>
    <w:rsid w:val="00CC2ABD"/>
  </w:style>
  <w:style w:type="paragraph" w:styleId="NormalWeb">
    <w:name w:val="Normal (Web)"/>
    <w:basedOn w:val="Normal"/>
    <w:uiPriority w:val="99"/>
    <w:unhideWhenUsed/>
    <w:rsid w:val="00CC2ABD"/>
    <w:pPr>
      <w:spacing w:before="100" w:beforeAutospacing="1" w:after="100" w:afterAutospacing="1"/>
    </w:pPr>
    <w:rPr>
      <w:lang w:val="ru-RU" w:eastAsia="ru-RU"/>
    </w:rPr>
  </w:style>
  <w:style w:type="character" w:styleId="Hyperlink">
    <w:name w:val="Hyperlink"/>
    <w:basedOn w:val="DefaultParagraphFont"/>
    <w:uiPriority w:val="99"/>
    <w:unhideWhenUsed/>
    <w:rsid w:val="00CC2ABD"/>
    <w:rPr>
      <w:color w:val="0000FF" w:themeColor="hyperlink"/>
      <w:u w:val="single"/>
    </w:rPr>
  </w:style>
  <w:style w:type="paragraph" w:styleId="ListParagraph">
    <w:name w:val="List Paragraph"/>
    <w:basedOn w:val="Normal"/>
    <w:uiPriority w:val="34"/>
    <w:qFormat/>
    <w:rsid w:val="00A03AEF"/>
    <w:pPr>
      <w:ind w:left="720"/>
      <w:contextualSpacing/>
    </w:pPr>
  </w:style>
  <w:style w:type="paragraph" w:styleId="BalloonText">
    <w:name w:val="Balloon Text"/>
    <w:basedOn w:val="Normal"/>
    <w:link w:val="BalloonTextChar"/>
    <w:uiPriority w:val="99"/>
    <w:semiHidden/>
    <w:unhideWhenUsed/>
    <w:rsid w:val="00B50253"/>
    <w:rPr>
      <w:rFonts w:ascii="Tahoma" w:hAnsi="Tahoma" w:cs="Tahoma"/>
      <w:sz w:val="16"/>
      <w:szCs w:val="16"/>
    </w:rPr>
  </w:style>
  <w:style w:type="character" w:customStyle="1" w:styleId="BalloonTextChar">
    <w:name w:val="Balloon Text Char"/>
    <w:basedOn w:val="DefaultParagraphFont"/>
    <w:link w:val="BalloonText"/>
    <w:uiPriority w:val="99"/>
    <w:semiHidden/>
    <w:rsid w:val="00B50253"/>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3B3244"/>
    <w:rPr>
      <w:sz w:val="16"/>
      <w:szCs w:val="16"/>
    </w:rPr>
  </w:style>
  <w:style w:type="paragraph" w:styleId="CommentText">
    <w:name w:val="annotation text"/>
    <w:basedOn w:val="Normal"/>
    <w:link w:val="CommentTextChar"/>
    <w:uiPriority w:val="99"/>
    <w:semiHidden/>
    <w:unhideWhenUsed/>
    <w:rsid w:val="003B3244"/>
    <w:rPr>
      <w:sz w:val="20"/>
      <w:szCs w:val="20"/>
    </w:rPr>
  </w:style>
  <w:style w:type="character" w:customStyle="1" w:styleId="CommentTextChar">
    <w:name w:val="Comment Text Char"/>
    <w:basedOn w:val="DefaultParagraphFont"/>
    <w:link w:val="CommentText"/>
    <w:uiPriority w:val="99"/>
    <w:semiHidden/>
    <w:rsid w:val="003B324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B3244"/>
    <w:rPr>
      <w:b/>
      <w:bCs/>
    </w:rPr>
  </w:style>
  <w:style w:type="character" w:customStyle="1" w:styleId="CommentSubjectChar">
    <w:name w:val="Comment Subject Char"/>
    <w:basedOn w:val="CommentTextChar"/>
    <w:link w:val="CommentSubject"/>
    <w:uiPriority w:val="99"/>
    <w:semiHidden/>
    <w:rsid w:val="003B3244"/>
    <w:rPr>
      <w:rFonts w:ascii="Times New Roman" w:eastAsia="Times New Roman" w:hAnsi="Times New Roman" w:cs="Times New Roman"/>
      <w:b/>
      <w:bCs/>
      <w:sz w:val="20"/>
      <w:szCs w:val="20"/>
      <w:lang w:val="en-GB"/>
    </w:rPr>
  </w:style>
  <w:style w:type="character" w:customStyle="1" w:styleId="Heading1Char">
    <w:name w:val="Heading 1 Char"/>
    <w:basedOn w:val="DefaultParagraphFont"/>
    <w:link w:val="Heading1"/>
    <w:uiPriority w:val="9"/>
    <w:rsid w:val="00194B64"/>
    <w:rPr>
      <w:rFonts w:asciiTheme="majorHAnsi" w:eastAsiaTheme="majorEastAsia" w:hAnsiTheme="majorHAnsi" w:cstheme="majorBidi"/>
      <w:color w:val="365F91" w:themeColor="accent1" w:themeShade="BF"/>
      <w:sz w:val="36"/>
      <w:szCs w:val="36"/>
    </w:rPr>
  </w:style>
  <w:style w:type="paragraph" w:customStyle="1" w:styleId="Default">
    <w:name w:val="Default"/>
    <w:rsid w:val="009E6690"/>
    <w:pPr>
      <w:autoSpaceDE w:val="0"/>
      <w:autoSpaceDN w:val="0"/>
      <w:adjustRightInd w:val="0"/>
      <w:spacing w:after="0" w:line="240" w:lineRule="auto"/>
    </w:pPr>
    <w:rPr>
      <w:rFonts w:ascii="Georgia" w:eastAsia="Calibri" w:hAnsi="Georgia" w:cs="Georgia"/>
      <w:color w:val="000000"/>
      <w:sz w:val="24"/>
      <w:szCs w:val="24"/>
    </w:rPr>
  </w:style>
  <w:style w:type="paragraph" w:styleId="Revision">
    <w:name w:val="Revision"/>
    <w:hidden/>
    <w:uiPriority w:val="99"/>
    <w:semiHidden/>
    <w:rsid w:val="007D7CA4"/>
    <w:pPr>
      <w:spacing w:after="0" w:line="240" w:lineRule="auto"/>
    </w:pPr>
    <w:rPr>
      <w:rFonts w:ascii="Times New Roman" w:eastAsia="Times New Roman" w:hAnsi="Times New Roman" w:cs="Times New Roman"/>
      <w:sz w:val="24"/>
      <w:szCs w:val="24"/>
      <w:lang w:val="en-GB"/>
    </w:rPr>
  </w:style>
  <w:style w:type="character" w:styleId="FootnoteReference">
    <w:name w:val="footnote reference"/>
    <w:aliases w:val="ftref,Rimando nota a pièdi pagina1,Footnote symbol,BVI fnr,16 Point,Superscript 6 Point,Fußnotenzeichen DISS,fr,(NECG) Footnote Reference,footnote ref,Char Char Char Char Car Char, BVI fnr"/>
    <w:uiPriority w:val="99"/>
    <w:rsid w:val="00335E65"/>
    <w:rPr>
      <w:vertAlign w:val="superscript"/>
    </w:rPr>
  </w:style>
  <w:style w:type="paragraph" w:styleId="FootnoteText">
    <w:name w:val="footnote text"/>
    <w:aliases w:val="fn,Footnote ak,fn Char,footnote text Char,Footnotes Char,Footnote ak Char,ft,fn cafc,Footnotes Char Char,Footnote Text Char Char,fn Char Char,footnote text Char Char Char Ch,footnote text,Footnote Text English,single space"/>
    <w:basedOn w:val="Normal"/>
    <w:link w:val="FootnoteTextChar"/>
    <w:uiPriority w:val="99"/>
    <w:rsid w:val="00335E65"/>
    <w:rPr>
      <w:sz w:val="20"/>
      <w:szCs w:val="20"/>
      <w:lang w:eastAsia="en-GB"/>
    </w:rPr>
  </w:style>
  <w:style w:type="character" w:customStyle="1" w:styleId="FootnoteTextChar">
    <w:name w:val="Footnote Text Char"/>
    <w:aliases w:val="fn Char1,Footnote ak Char1,fn Char Char1,footnote text Char Char,Footnotes Char Char1,Footnote ak Char Char,ft Char,fn cafc Char,Footnotes Char Char Char,Footnote Text Char Char Char,fn Char Char Char,footnote text Char1"/>
    <w:basedOn w:val="DefaultParagraphFont"/>
    <w:link w:val="FootnoteText"/>
    <w:uiPriority w:val="99"/>
    <w:rsid w:val="00335E65"/>
    <w:rPr>
      <w:rFonts w:ascii="Times New Roman" w:eastAsia="Times New Roman" w:hAnsi="Times New Roman" w:cs="Times New Roman"/>
      <w:sz w:val="20"/>
      <w:szCs w:val="20"/>
      <w:lang w:val="en-GB" w:eastAsia="en-GB"/>
    </w:rPr>
  </w:style>
  <w:style w:type="paragraph" w:styleId="Header">
    <w:name w:val="header"/>
    <w:basedOn w:val="Normal"/>
    <w:link w:val="HeaderChar"/>
    <w:uiPriority w:val="99"/>
    <w:unhideWhenUsed/>
    <w:rsid w:val="00FF74D9"/>
    <w:pPr>
      <w:tabs>
        <w:tab w:val="center" w:pos="4513"/>
        <w:tab w:val="right" w:pos="9026"/>
      </w:tabs>
    </w:pPr>
  </w:style>
  <w:style w:type="character" w:customStyle="1" w:styleId="HeaderChar">
    <w:name w:val="Header Char"/>
    <w:basedOn w:val="DefaultParagraphFont"/>
    <w:link w:val="Header"/>
    <w:uiPriority w:val="99"/>
    <w:rsid w:val="00FF74D9"/>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FF74D9"/>
    <w:pPr>
      <w:tabs>
        <w:tab w:val="center" w:pos="4513"/>
        <w:tab w:val="right" w:pos="9026"/>
      </w:tabs>
    </w:pPr>
  </w:style>
  <w:style w:type="character" w:customStyle="1" w:styleId="FooterChar">
    <w:name w:val="Footer Char"/>
    <w:basedOn w:val="DefaultParagraphFont"/>
    <w:link w:val="Footer"/>
    <w:uiPriority w:val="99"/>
    <w:rsid w:val="00FF74D9"/>
    <w:rPr>
      <w:rFonts w:ascii="Times New Roman" w:eastAsia="Times New Roman" w:hAnsi="Times New Roman" w:cs="Times New Roman"/>
      <w:sz w:val="24"/>
      <w:szCs w:val="24"/>
      <w:lang w:val="en-GB"/>
    </w:rPr>
  </w:style>
  <w:style w:type="table" w:customStyle="1" w:styleId="PlainTable11">
    <w:name w:val="Plain Table 11"/>
    <w:basedOn w:val="TableNormal"/>
    <w:uiPriority w:val="41"/>
    <w:rsid w:val="00B65121"/>
    <w:pPr>
      <w:spacing w:after="0" w:line="240" w:lineRule="auto"/>
    </w:pPr>
    <w:rPr>
      <w:sz w:val="24"/>
      <w:szCs w:val="24"/>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7815055345731257750m1211685171208653893m6370522064951927790m5927266933700526822msolistparagraph">
    <w:name w:val="m7815055345731257750m1211685171208653893m6370522064951927790m5927266933700526822msolistparagraph"/>
    <w:basedOn w:val="Normal"/>
    <w:uiPriority w:val="99"/>
    <w:rsid w:val="003B3215"/>
    <w:pPr>
      <w:spacing w:before="100" w:beforeAutospacing="1" w:after="100" w:afterAutospacing="1"/>
    </w:pPr>
    <w:rPr>
      <w:rFonts w:eastAsiaTheme="minorHAnsi"/>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67049">
      <w:bodyDiv w:val="1"/>
      <w:marLeft w:val="0"/>
      <w:marRight w:val="0"/>
      <w:marTop w:val="0"/>
      <w:marBottom w:val="0"/>
      <w:divBdr>
        <w:top w:val="none" w:sz="0" w:space="0" w:color="auto"/>
        <w:left w:val="none" w:sz="0" w:space="0" w:color="auto"/>
        <w:bottom w:val="none" w:sz="0" w:space="0" w:color="auto"/>
        <w:right w:val="none" w:sz="0" w:space="0" w:color="auto"/>
      </w:divBdr>
    </w:div>
    <w:div w:id="625964861">
      <w:bodyDiv w:val="1"/>
      <w:marLeft w:val="0"/>
      <w:marRight w:val="0"/>
      <w:marTop w:val="0"/>
      <w:marBottom w:val="0"/>
      <w:divBdr>
        <w:top w:val="none" w:sz="0" w:space="0" w:color="auto"/>
        <w:left w:val="none" w:sz="0" w:space="0" w:color="auto"/>
        <w:bottom w:val="none" w:sz="0" w:space="0" w:color="auto"/>
        <w:right w:val="none" w:sz="0" w:space="0" w:color="auto"/>
      </w:divBdr>
    </w:div>
    <w:div w:id="1091467594">
      <w:bodyDiv w:val="1"/>
      <w:marLeft w:val="0"/>
      <w:marRight w:val="0"/>
      <w:marTop w:val="0"/>
      <w:marBottom w:val="0"/>
      <w:divBdr>
        <w:top w:val="none" w:sz="0" w:space="0" w:color="auto"/>
        <w:left w:val="none" w:sz="0" w:space="0" w:color="auto"/>
        <w:bottom w:val="none" w:sz="0" w:space="0" w:color="auto"/>
        <w:right w:val="none" w:sz="0" w:space="0" w:color="auto"/>
      </w:divBdr>
    </w:div>
    <w:div w:id="152208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693EE9-1084-4951-AFF2-8E6C535FB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1983</Words>
  <Characters>11309</Characters>
  <Application>Microsoft Office Word</Application>
  <DocSecurity>0</DocSecurity>
  <Lines>94</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2019-05-10T14:43:00Z</dcterms:created>
  <dcterms:modified xsi:type="dcterms:W3CDTF">2019-05-15T14:07:00Z</dcterms:modified>
</cp:coreProperties>
</file>